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BF3F05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3F05">
              <w:rPr>
                <w:rFonts w:ascii="Calibri" w:hAnsi="Calibri"/>
                <w:b/>
                <w:szCs w:val="28"/>
                <w:lang w:val="sq-AL"/>
              </w:rPr>
              <w:t>Menaxhimi i Projekteve dhe Investimeve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BF3F05" w:rsidRPr="00FC47DF" w:rsidTr="000F5330">
        <w:tc>
          <w:tcPr>
            <w:tcW w:w="3481" w:type="dxa"/>
          </w:tcPr>
          <w:p w:rsidR="00BF3F05" w:rsidRPr="00FC47DF" w:rsidRDefault="00BF3F05" w:rsidP="00BF3F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BF3F05" w:rsidRPr="00BF3F05" w:rsidRDefault="00BF3F05" w:rsidP="00BF3F05">
            <w:pPr>
              <w:spacing w:after="200"/>
              <w:jc w:val="both"/>
              <w:rPr>
                <w:i/>
                <w:lang w:val="sq-AL"/>
              </w:rPr>
            </w:pPr>
            <w:r w:rsidRPr="00BF3F05">
              <w:rPr>
                <w:i/>
                <w:color w:val="000000"/>
              </w:rPr>
              <w:t xml:space="preserve">Menaxhimi i investimeve dhe projekteve  paraqet një integrim të planifikimit , analizës dhe vlerësimit të investimeve dhe menaxhimit  të projekteve përkatësisht ciklit të projektit duke u përqendruar në investimet reale për dallim nga investimet financiare që trajtohen të lëndët e tjera. </w:t>
            </w:r>
            <w:r w:rsidRPr="00BF3F05">
              <w:rPr>
                <w:rStyle w:val="hps"/>
                <w:i/>
              </w:rPr>
              <w:t>Kuptimi i projektit.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Kuptimi i investimeve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dhe procesin 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investimeve.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Studimi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Investimi</w:t>
            </w:r>
            <w:r w:rsidRPr="00BF3F05">
              <w:rPr>
                <w:i/>
              </w:rPr>
              <w:t xml:space="preserve">: zgjidhje </w:t>
            </w:r>
            <w:r w:rsidRPr="00BF3F05">
              <w:rPr>
                <w:rStyle w:val="hps"/>
                <w:i/>
              </w:rPr>
              <w:t>teknologjike</w:t>
            </w:r>
            <w:r w:rsidRPr="00BF3F05">
              <w:rPr>
                <w:i/>
              </w:rPr>
              <w:t xml:space="preserve">, </w:t>
            </w:r>
            <w:r w:rsidRPr="00BF3F05">
              <w:rPr>
                <w:rStyle w:val="hps"/>
                <w:i/>
              </w:rPr>
              <w:t>vendndodhjen dhe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aspektet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organizative të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menaxhmentit</w:t>
            </w:r>
            <w:r w:rsidRPr="00BF3F05">
              <w:rPr>
                <w:i/>
              </w:rPr>
              <w:t xml:space="preserve">. </w:t>
            </w:r>
            <w:r w:rsidRPr="00BF3F05">
              <w:rPr>
                <w:rStyle w:val="hps"/>
                <w:i/>
              </w:rPr>
              <w:t>Analiza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financiare</w:t>
            </w:r>
            <w:r w:rsidRPr="00BF3F05">
              <w:rPr>
                <w:i/>
              </w:rPr>
              <w:t xml:space="preserve">. </w:t>
            </w:r>
            <w:r w:rsidRPr="00BF3F05">
              <w:rPr>
                <w:rStyle w:val="hps"/>
                <w:i/>
              </w:rPr>
              <w:t>Analiza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sociale dhe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ekonomike</w:t>
            </w:r>
            <w:r w:rsidRPr="00BF3F05">
              <w:rPr>
                <w:i/>
              </w:rPr>
              <w:t xml:space="preserve">. </w:t>
            </w:r>
            <w:r w:rsidRPr="00BF3F05">
              <w:rPr>
                <w:rStyle w:val="hps"/>
                <w:i/>
              </w:rPr>
              <w:t>Ndjeshmëria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dhe analizave të rrezikut</w:t>
            </w:r>
            <w:r w:rsidRPr="00BF3F05">
              <w:rPr>
                <w:i/>
              </w:rPr>
              <w:t xml:space="preserve">. </w:t>
            </w:r>
            <w:r w:rsidRPr="00BF3F05">
              <w:rPr>
                <w:rStyle w:val="hps"/>
                <w:i/>
              </w:rPr>
              <w:t>Zbatimi</w:t>
            </w:r>
            <w:r w:rsidRPr="00BF3F05">
              <w:rPr>
                <w:i/>
              </w:rPr>
              <w:t xml:space="preserve"> i </w:t>
            </w:r>
            <w:r w:rsidRPr="00BF3F05">
              <w:rPr>
                <w:rStyle w:val="hps"/>
                <w:i/>
              </w:rPr>
              <w:t>projektit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Menaxhimi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-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Hyrje në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menaxhimin 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projektit</w:t>
            </w:r>
            <w:r w:rsidRPr="00BF3F05">
              <w:rPr>
                <w:i/>
              </w:rPr>
              <w:t xml:space="preserve">. </w:t>
            </w:r>
            <w:r w:rsidRPr="00BF3F05">
              <w:rPr>
                <w:rStyle w:val="hps"/>
                <w:i/>
              </w:rPr>
              <w:t>WBS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dhe koha 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shpenzimeve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të planifikimit.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Organizimi dhe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kontrolli</w:t>
            </w:r>
            <w:r w:rsidRPr="00BF3F05">
              <w:rPr>
                <w:i/>
              </w:rPr>
              <w:t xml:space="preserve"> i </w:t>
            </w:r>
            <w:r w:rsidRPr="00BF3F05">
              <w:rPr>
                <w:rStyle w:val="hps"/>
                <w:i/>
              </w:rPr>
              <w:t>projektit</w:t>
            </w:r>
            <w:r w:rsidRPr="00BF3F05">
              <w:rPr>
                <w:i/>
              </w:rPr>
              <w:t xml:space="preserve">, raportimi, </w:t>
            </w:r>
            <w:r w:rsidRPr="00BF3F05">
              <w:rPr>
                <w:rStyle w:val="hps"/>
                <w:i/>
              </w:rPr>
              <w:t>vlerësimi</w:t>
            </w:r>
            <w:r w:rsidRPr="00BF3F05">
              <w:rPr>
                <w:i/>
              </w:rPr>
              <w:t xml:space="preserve">. </w:t>
            </w:r>
            <w:r w:rsidRPr="00BF3F05">
              <w:rPr>
                <w:rStyle w:val="hps"/>
                <w:i/>
              </w:rPr>
              <w:t>Prezantimi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dhe ushtrime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 xml:space="preserve">në </w:t>
            </w:r>
            <w:r w:rsidRPr="00BF3F05">
              <w:rPr>
                <w:i/>
                <w:color w:val="000000"/>
              </w:rPr>
              <w:t xml:space="preserve"> Microsoft Project Management</w:t>
            </w:r>
            <w:r w:rsidRPr="00BF3F05">
              <w:rPr>
                <w:i/>
              </w:rPr>
              <w:t xml:space="preserve">.  </w:t>
            </w:r>
          </w:p>
        </w:tc>
      </w:tr>
      <w:tr w:rsidR="00BF3F05" w:rsidRPr="00FC47DF" w:rsidTr="000F5330">
        <w:tc>
          <w:tcPr>
            <w:tcW w:w="3481" w:type="dxa"/>
          </w:tcPr>
          <w:p w:rsidR="00BF3F05" w:rsidRPr="00FC47DF" w:rsidRDefault="00BF3F05" w:rsidP="00BF3F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BF3F05" w:rsidRPr="00BF3F05" w:rsidRDefault="00BF3F05" w:rsidP="00BF3F05">
            <w:pPr>
              <w:spacing w:after="200"/>
              <w:jc w:val="both"/>
              <w:rPr>
                <w:i/>
                <w:lang w:val="sq-AL"/>
              </w:rPr>
            </w:pPr>
            <w:r w:rsidRPr="00BF3F05">
              <w:rPr>
                <w:i/>
              </w:rPr>
              <w:t xml:space="preserve">Qëllimi i </w:t>
            </w:r>
            <w:r w:rsidRPr="00BF3F05">
              <w:rPr>
                <w:rStyle w:val="hps"/>
                <w:i/>
              </w:rPr>
              <w:t xml:space="preserve">kësaj lënde 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është që të ndërtojë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kapacitetet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(</w:t>
            </w:r>
            <w:r w:rsidRPr="00BF3F05">
              <w:rPr>
                <w:i/>
                <w:color w:val="333333"/>
              </w:rPr>
              <w:t xml:space="preserve">njohuri dhe aftësi) </w:t>
            </w:r>
            <w:r w:rsidRPr="00BF3F05">
              <w:rPr>
                <w:rStyle w:val="hps"/>
                <w:i/>
                <w:color w:val="333333"/>
              </w:rPr>
              <w:t>për të menaxhuar efektivisht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projekte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në përputhje me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standardet ndërkombëtare</w:t>
            </w:r>
            <w:r w:rsidRPr="00BF3F05">
              <w:rPr>
                <w:i/>
                <w:color w:val="333333"/>
              </w:rPr>
              <w:t xml:space="preserve"> </w:t>
            </w:r>
            <w:r w:rsidRPr="00BF3F05">
              <w:rPr>
                <w:rStyle w:val="hps"/>
                <w:i/>
                <w:color w:val="333333"/>
              </w:rPr>
              <w:t>dhe metodologjitë,si dhe të japin idetë për zgjidhjen e problemeve duke bërë prezantimin e zgjedhjet e mundshme në faza të ndryshme të ciklit të jetës së projektit</w:t>
            </w:r>
          </w:p>
        </w:tc>
      </w:tr>
      <w:tr w:rsidR="00BF3F05" w:rsidRPr="00FC47DF" w:rsidTr="000F5330">
        <w:tc>
          <w:tcPr>
            <w:tcW w:w="3481" w:type="dxa"/>
          </w:tcPr>
          <w:p w:rsidR="00BF3F05" w:rsidRPr="00FC47DF" w:rsidRDefault="00BF3F05" w:rsidP="00BF3F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B90C83" w:rsidRPr="006206D8" w:rsidRDefault="00B90C83" w:rsidP="00B90C83">
            <w:pPr>
              <w:pStyle w:val="NoSpacing"/>
            </w:pPr>
            <w:r w:rsidRPr="006206D8">
              <w:rPr>
                <w:rStyle w:val="hps"/>
              </w:rPr>
              <w:t>Pas</w:t>
            </w:r>
            <w:r w:rsidRPr="006206D8">
              <w:t xml:space="preserve"> </w:t>
            </w:r>
            <w:r w:rsidRPr="006206D8">
              <w:rPr>
                <w:rStyle w:val="hps"/>
              </w:rPr>
              <w:t>përfundimit të suksesshëm të</w:t>
            </w:r>
            <w:r w:rsidRPr="006206D8">
              <w:t xml:space="preserve"> </w:t>
            </w:r>
            <w:r w:rsidRPr="006206D8">
              <w:rPr>
                <w:rStyle w:val="hps"/>
              </w:rPr>
              <w:t>modulit,</w:t>
            </w:r>
            <w:r w:rsidRPr="006206D8">
              <w:t xml:space="preserve"> </w:t>
            </w:r>
            <w:r w:rsidRPr="006206D8">
              <w:rPr>
                <w:rStyle w:val="hps"/>
              </w:rPr>
              <w:t>studenti duhet të jetë</w:t>
            </w:r>
            <w:r w:rsidRPr="006206D8">
              <w:t xml:space="preserve"> </w:t>
            </w:r>
            <w:r w:rsidRPr="006206D8">
              <w:rPr>
                <w:rStyle w:val="hps"/>
              </w:rPr>
              <w:t>në gjendje të:</w:t>
            </w:r>
          </w:p>
          <w:p w:rsidR="00B90C83" w:rsidRPr="006206D8" w:rsidRDefault="00B90C83" w:rsidP="00B90C83">
            <w:pPr>
              <w:pStyle w:val="NoSpacing"/>
              <w:numPr>
                <w:ilvl w:val="0"/>
                <w:numId w:val="16"/>
              </w:numPr>
            </w:pPr>
            <w:r w:rsidRPr="006206D8">
              <w:rPr>
                <w:rStyle w:val="hps"/>
              </w:rPr>
              <w:t>përcaktoj</w:t>
            </w:r>
            <w:r w:rsidRPr="006206D8">
              <w:t xml:space="preserve"> </w:t>
            </w:r>
            <w:r w:rsidRPr="006206D8">
              <w:rPr>
                <w:rStyle w:val="hps"/>
              </w:rPr>
              <w:t>problemet dhe</w:t>
            </w:r>
            <w:r w:rsidRPr="006206D8">
              <w:t xml:space="preserve"> </w:t>
            </w:r>
            <w:r w:rsidRPr="006206D8">
              <w:rPr>
                <w:rStyle w:val="hps"/>
              </w:rPr>
              <w:t>identifikoj</w:t>
            </w:r>
            <w:r w:rsidRPr="006206D8">
              <w:t xml:space="preserve"> </w:t>
            </w:r>
            <w:r w:rsidRPr="006206D8">
              <w:rPr>
                <w:rStyle w:val="hps"/>
              </w:rPr>
              <w:t>qëllimi dhe të përcaktoj objektivat e një projekti investiv</w:t>
            </w:r>
          </w:p>
          <w:p w:rsidR="00B90C83" w:rsidRPr="006206D8" w:rsidRDefault="00B90C83" w:rsidP="00B90C83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702"/>
              </w:tabs>
              <w:contextualSpacing w:val="0"/>
            </w:pPr>
            <w:r w:rsidRPr="006206D8">
              <w:rPr>
                <w:rStyle w:val="hps"/>
              </w:rPr>
              <w:t>aplikoj</w:t>
            </w:r>
            <w:r w:rsidRPr="006206D8">
              <w:t xml:space="preserve"> </w:t>
            </w:r>
            <w:r w:rsidRPr="006206D8">
              <w:rPr>
                <w:rStyle w:val="hps"/>
              </w:rPr>
              <w:t>metodat</w:t>
            </w:r>
            <w:r w:rsidRPr="006206D8">
              <w:t xml:space="preserve"> </w:t>
            </w:r>
            <w:r w:rsidRPr="006206D8">
              <w:rPr>
                <w:rStyle w:val="hps"/>
              </w:rPr>
              <w:t>financiare ndërkombëtare</w:t>
            </w:r>
            <w:r w:rsidRPr="006206D8">
              <w:t xml:space="preserve"> </w:t>
            </w:r>
            <w:r w:rsidRPr="006206D8">
              <w:rPr>
                <w:rStyle w:val="hps"/>
              </w:rPr>
              <w:t>gjatë planifikimit</w:t>
            </w:r>
            <w:r w:rsidRPr="006206D8">
              <w:t xml:space="preserve"> </w:t>
            </w:r>
            <w:r w:rsidRPr="006206D8">
              <w:rPr>
                <w:rStyle w:val="hps"/>
              </w:rPr>
              <w:t>dhe implementimit</w:t>
            </w:r>
            <w:r w:rsidRPr="006206D8">
              <w:t xml:space="preserve"> </w:t>
            </w:r>
            <w:r w:rsidRPr="006206D8">
              <w:rPr>
                <w:rStyle w:val="hps"/>
              </w:rPr>
              <w:t>të projekteve të investimeve</w:t>
            </w:r>
          </w:p>
          <w:p w:rsidR="00B90C83" w:rsidRPr="006206D8" w:rsidRDefault="00B90C83" w:rsidP="00B90C83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702"/>
              </w:tabs>
              <w:contextualSpacing w:val="0"/>
              <w:rPr>
                <w:rStyle w:val="hps"/>
              </w:rPr>
            </w:pPr>
            <w:r w:rsidRPr="006206D8">
              <w:rPr>
                <w:rStyle w:val="hps"/>
              </w:rPr>
              <w:lastRenderedPageBreak/>
              <w:t>vlerësoj aspektet</w:t>
            </w:r>
            <w:r w:rsidRPr="006206D8">
              <w:t xml:space="preserve"> </w:t>
            </w:r>
            <w:r w:rsidRPr="006206D8">
              <w:rPr>
                <w:rStyle w:val="hps"/>
              </w:rPr>
              <w:t>financiare</w:t>
            </w:r>
            <w:r w:rsidRPr="006206D8">
              <w:t xml:space="preserve"> </w:t>
            </w:r>
            <w:r w:rsidRPr="006206D8">
              <w:rPr>
                <w:rStyle w:val="hps"/>
              </w:rPr>
              <w:t>dhe efikasitetin si dhe ndieshmërinë e projekteve investive</w:t>
            </w:r>
          </w:p>
          <w:p w:rsidR="00BF3F05" w:rsidRPr="00BF3F05" w:rsidRDefault="00B90C83" w:rsidP="00B90C83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702"/>
              </w:tabs>
              <w:rPr>
                <w:i/>
              </w:rPr>
            </w:pPr>
            <w:r w:rsidRPr="006206D8">
              <w:rPr>
                <w:rStyle w:val="hps"/>
              </w:rPr>
              <w:t>analizoj, vlesëroj dhe kritikoj një projekt ekzistues investiv inxhinierik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E61CB8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E61CB8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9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Kollokfiume,</w:t>
            </w:r>
            <w:r w:rsidR="00E61CB8"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581DA9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="00665A06"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 w:rsidR="000F5330"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0F5330" w:rsidRPr="00FC47DF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Projektet, prezentimet ,etj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FC47DF" w:rsidRDefault="00581DA9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  <w:bookmarkStart w:id="0" w:name="_GoBack"/>
            <w:bookmarkEnd w:id="0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FC47DF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0F5330" w:rsidRPr="00FC47DF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BF3F05" w:rsidRPr="00BF3F05" w:rsidRDefault="00BF3F05" w:rsidP="00BF3F05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F3F05">
              <w:rPr>
                <w:rFonts w:ascii="Calibri" w:hAnsi="Calibri" w:cs="Arial"/>
                <w:i/>
                <w:sz w:val="22"/>
                <w:szCs w:val="22"/>
              </w:rPr>
              <w:t>Ligjërata interaktive me studente lidhur me temat e ligjëruara, orientimi në shtjellimin e materialit duke marë raste studimi të cilat do të diskutohen në grup, mësimi duke u bazuar në një problem te paraqitur, prezantimi në gupe nga studentet dhe luajtja e roleve, mësime praktike për lëndën dhe angazhim për studentin për të prezantuar njohurit e fituara gjatë ligjëratës. Ligjëratat organizohen sipas parimit prezentim të  koncepteve teorike  me poëer point 50-60 %, diskutime dhe prezentime të studentëve dhe studimeve të rastit 40-50%.  Studentëve do t’u jipen artikuj ose punime te zgjedhura për lexim dhe diskutim në ligjrata dhe ushtrime.</w:t>
            </w:r>
          </w:p>
          <w:p w:rsidR="000F5330" w:rsidRPr="00D26C9B" w:rsidRDefault="00BF3F05" w:rsidP="00BF3F05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F3F05">
              <w:rPr>
                <w:rFonts w:ascii="Calibri" w:hAnsi="Calibri" w:cs="Arial"/>
                <w:i/>
                <w:sz w:val="22"/>
                <w:szCs w:val="22"/>
              </w:rPr>
              <w:t>Gjatë ushtrimeve – bëhet prezentimi rasteve, sqarimi i koncepteve teorike , diskutime ,  prezentim i punimeve të studentëve. Studentët janë të obliguar që individualisht ose ne grup 2-3 të përgatisin prezentim të aspekteve kyçe të një studimi investiv real duke zbatuar treguesit dhe metodat e vlersimit.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BF3F05" w:rsidRPr="00BF3F05" w:rsidRDefault="00BF3F05" w:rsidP="00BF3F05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F3F05">
              <w:rPr>
                <w:rFonts w:ascii="Calibri" w:hAnsi="Calibri" w:cs="Arial"/>
                <w:i/>
                <w:sz w:val="22"/>
                <w:szCs w:val="22"/>
              </w:rPr>
              <w:t>Punim seminarik  60 %</w:t>
            </w:r>
          </w:p>
          <w:p w:rsidR="000F5330" w:rsidRPr="00D26C9B" w:rsidRDefault="00BF3F05" w:rsidP="00BF3F05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F3F05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Prezantim dhe arsyetimi i vlerësimit 40 %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lastRenderedPageBreak/>
              <w:t xml:space="preserve">Literatura </w:t>
            </w:r>
          </w:p>
        </w:tc>
      </w:tr>
      <w:tr w:rsidR="00BF3F05" w:rsidRPr="00FC47DF" w:rsidTr="000F5330">
        <w:tc>
          <w:tcPr>
            <w:tcW w:w="3481" w:type="dxa"/>
          </w:tcPr>
          <w:p w:rsidR="00BF3F05" w:rsidRPr="00FC47DF" w:rsidRDefault="00BF3F05" w:rsidP="00BF3F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BF3F05" w:rsidRPr="003A6526" w:rsidRDefault="00BF3F05" w:rsidP="00BF3F05">
            <w:pPr>
              <w:numPr>
                <w:ilvl w:val="0"/>
                <w:numId w:val="17"/>
              </w:numPr>
              <w:jc w:val="both"/>
            </w:pPr>
            <w:r w:rsidRPr="003A6526">
              <w:t>Muhamet Mustafa:  Menaxhimi i Investimeve</w:t>
            </w:r>
          </w:p>
          <w:p w:rsidR="00BF3F05" w:rsidRPr="003A6526" w:rsidRDefault="00BF3F05" w:rsidP="00BF3F05">
            <w:pPr>
              <w:numPr>
                <w:ilvl w:val="0"/>
                <w:numId w:val="17"/>
              </w:numPr>
              <w:jc w:val="both"/>
            </w:pPr>
            <w:r w:rsidRPr="003A6526">
              <w:t xml:space="preserve">S. Panariti, </w:t>
            </w:r>
            <w:r w:rsidRPr="003A6526">
              <w:rPr>
                <w:i/>
              </w:rPr>
              <w:t xml:space="preserve">Menaxhimi i projekteve, </w:t>
            </w:r>
            <w:r w:rsidRPr="003A6526">
              <w:t>Tiranë 2017</w:t>
            </w:r>
          </w:p>
        </w:tc>
      </w:tr>
      <w:tr w:rsidR="00BF3F05" w:rsidRPr="00FC47DF" w:rsidTr="000F5330">
        <w:tc>
          <w:tcPr>
            <w:tcW w:w="3481" w:type="dxa"/>
          </w:tcPr>
          <w:p w:rsidR="00BF3F05" w:rsidRPr="00FC47DF" w:rsidRDefault="00BF3F05" w:rsidP="00BF3F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BF3F05" w:rsidRPr="003A6526" w:rsidRDefault="00BF3F05" w:rsidP="00BF3F05">
            <w:pPr>
              <w:pStyle w:val="ListParagraph"/>
              <w:numPr>
                <w:ilvl w:val="0"/>
                <w:numId w:val="18"/>
              </w:numPr>
              <w:jc w:val="left"/>
            </w:pPr>
            <w:r w:rsidRPr="003A6526">
              <w:t xml:space="preserve">Handbook on Economic Analyses of Investment Operations , World Bank  </w:t>
            </w:r>
          </w:p>
          <w:p w:rsidR="00BF3F05" w:rsidRPr="003A6526" w:rsidRDefault="00BF3F05" w:rsidP="00BF3F05">
            <w:pPr>
              <w:pStyle w:val="ListParagraph"/>
              <w:numPr>
                <w:ilvl w:val="0"/>
                <w:numId w:val="18"/>
              </w:numPr>
              <w:jc w:val="left"/>
            </w:pPr>
            <w:r w:rsidRPr="003A6526">
              <w:t>UNIDO:  Manual for Preparation and Appraisal of Industrial Projects ;</w:t>
            </w:r>
          </w:p>
          <w:p w:rsidR="00BF3F05" w:rsidRPr="003A6526" w:rsidRDefault="00BF3F05" w:rsidP="00BF3F05">
            <w:pPr>
              <w:pStyle w:val="ListParagraph"/>
              <w:numPr>
                <w:ilvl w:val="0"/>
                <w:numId w:val="18"/>
              </w:numPr>
              <w:jc w:val="left"/>
            </w:pPr>
            <w:r w:rsidRPr="003A6526">
              <w:t xml:space="preserve">Daynanada &amp;  Irons&amp;Harrison, Herbohn, Capital Budgeting, </w:t>
            </w:r>
          </w:p>
          <w:p w:rsidR="00BF3F05" w:rsidRPr="003A6526" w:rsidRDefault="00BF3F05" w:rsidP="00BF3F05">
            <w:pPr>
              <w:pStyle w:val="ListParagraph"/>
              <w:numPr>
                <w:ilvl w:val="0"/>
                <w:numId w:val="18"/>
              </w:numPr>
              <w:jc w:val="left"/>
            </w:pPr>
            <w:r w:rsidRPr="003A6526">
              <w:t>Financial Appraisal Of Investment Projects, Cambridge</w:t>
            </w:r>
          </w:p>
          <w:p w:rsidR="00BF3F05" w:rsidRPr="003A6526" w:rsidRDefault="00BF3F05" w:rsidP="00BF3F05">
            <w:pPr>
              <w:pStyle w:val="ListParagraph"/>
              <w:numPr>
                <w:ilvl w:val="0"/>
                <w:numId w:val="18"/>
              </w:numPr>
              <w:jc w:val="left"/>
            </w:pPr>
            <w:r w:rsidRPr="003A6526">
              <w:t>Ralph Tiffin: Practical Techniques for Effective Project Investment Appraisal (IFC)</w:t>
            </w:r>
          </w:p>
        </w:tc>
      </w:tr>
      <w:tr w:rsidR="00A70C41" w:rsidRPr="00B52385" w:rsidTr="00A70C41">
        <w:trPr>
          <w:trHeight w:val="440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A70C41" w:rsidRDefault="00A70C41" w:rsidP="00410497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 i teorisë dhe praktikës: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0B0AA4" w:rsidRPr="000B0AA4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60% Teori</w:t>
            </w:r>
          </w:p>
          <w:p w:rsidR="00A70C41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40%  Praktike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  <w:lang w:val="sq-AL"/>
              </w:rPr>
              <w:t xml:space="preserve">Prezantimi – njoftimi i studenteve me syllabusin e lëndës, </w:t>
            </w:r>
          </w:p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  <w:lang w:val="sq-AL"/>
              </w:rPr>
              <w:t>Roli  dhe k</w:t>
            </w:r>
            <w:r w:rsidRPr="00BF3F05">
              <w:rPr>
                <w:i/>
                <w:lang w:val="it-IT"/>
              </w:rPr>
              <w:t>uptimi i investimeve  dhe procesit investiv</w:t>
            </w:r>
            <w:r w:rsidRPr="00BF3F05">
              <w:rPr>
                <w:i/>
                <w:lang w:val="sq-AL"/>
              </w:rPr>
              <w:t>,</w:t>
            </w:r>
            <w:r w:rsidRPr="00BF3F05">
              <w:rPr>
                <w:i/>
              </w:rPr>
              <w:t xml:space="preserve"> </w:t>
            </w:r>
            <w:r w:rsidRPr="00BF3F05">
              <w:rPr>
                <w:rStyle w:val="hps"/>
                <w:i/>
              </w:rPr>
              <w:t>Kuptimi i projektit,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pStyle w:val="TOC1"/>
              <w:tabs>
                <w:tab w:val="left" w:pos="480"/>
                <w:tab w:val="right" w:leader="dot" w:pos="9350"/>
              </w:tabs>
              <w:rPr>
                <w:i/>
                <w:sz w:val="22"/>
                <w:szCs w:val="22"/>
              </w:rPr>
            </w:pPr>
            <w:r w:rsidRPr="00BF3F05">
              <w:rPr>
                <w:i/>
                <w:sz w:val="22"/>
                <w:szCs w:val="22"/>
                <w:lang w:val="it-IT"/>
              </w:rPr>
              <w:t xml:space="preserve">Studimi  investiv (Analiza e aftësive të investitorit; Analiza e tregut të shitjes), 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jc w:val="both"/>
              <w:rPr>
                <w:i/>
                <w:lang w:val="sv-SE"/>
              </w:rPr>
            </w:pPr>
            <w:r w:rsidRPr="00BF3F05">
              <w:rPr>
                <w:i/>
                <w:lang w:val="sv-SE"/>
              </w:rPr>
              <w:t xml:space="preserve">Studimi  Investiv : </w:t>
            </w:r>
            <w:r w:rsidRPr="00BF3F05">
              <w:rPr>
                <w:i/>
                <w:lang w:val="sv-SE" w:eastAsia="ja-JP"/>
              </w:rPr>
              <w:t xml:space="preserve">Zgjidhja tekniko-teknologjike, lokacioni dhe aspektet organizative e menaxheriale, </w:t>
            </w:r>
            <w:r w:rsidRPr="00BF3F05">
              <w:rPr>
                <w:i/>
                <w:lang w:val="sv-SE"/>
              </w:rPr>
              <w:t>Punimi seminarik,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ind w:left="13" w:hanging="13"/>
              <w:rPr>
                <w:i/>
                <w:lang w:val="sq-AL"/>
              </w:rPr>
            </w:pPr>
            <w:r w:rsidRPr="00BF3F05">
              <w:rPr>
                <w:i/>
                <w:lang w:val="it-IT"/>
              </w:rPr>
              <w:t>Analiza financiare; Planifikimi i vëllimit të investimeve; Simulimi i rezultateve të afarizmit –bilanci i suksesit;  Struktura e rrjedhës së parasë dhe qasjet në vlerësimin e efikasitetit, prezentim,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ind w:left="-77"/>
              <w:rPr>
                <w:i/>
                <w:lang w:val="sq-AL"/>
              </w:rPr>
            </w:pPr>
            <w:r w:rsidRPr="00BF3F05">
              <w:rPr>
                <w:i/>
              </w:rPr>
              <w:t xml:space="preserve"> Vlerësimi i efikasitetit financiar, qasjet statike dhe dianmike,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spacing w:after="200" w:line="276" w:lineRule="auto"/>
              <w:rPr>
                <w:i/>
                <w:lang w:val="sq-AL"/>
              </w:rPr>
            </w:pPr>
            <w:r w:rsidRPr="00BF3F05">
              <w:rPr>
                <w:i/>
              </w:rPr>
              <w:t>Analiza sociale dhe ekonomike</w:t>
            </w:r>
            <w:r w:rsidRPr="00BF3F05">
              <w:rPr>
                <w:i/>
                <w:lang w:val="sq-AL"/>
              </w:rPr>
              <w:t>, prezentim,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</w:rPr>
              <w:t>Analiza e ndjeshmërisë dhe riskut, prezentim,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</w:rPr>
              <w:t>Menaxhimi i realizimit të projektit   - hyrje ne menaxhim të projekteve, MS Project, prezentim,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  <w:color w:val="000000"/>
              </w:rPr>
              <w:t>Identifikimi, planifikimi, organizimi dhe kontrolli i projektit; Identifikimi dhe zbërthimi i aktiviteteve</w:t>
            </w:r>
            <w:r w:rsidRPr="00BF3F05">
              <w:rPr>
                <w:i/>
                <w:lang w:val="sq-AL"/>
              </w:rPr>
              <w:t>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  <w:color w:val="000000"/>
              </w:rPr>
              <w:t>Buxhetimi dhe planifikimi kohorë; Organizimi i aktiviteteve dhe pakove të punës;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  <w:color w:val="000000"/>
              </w:rPr>
              <w:t>Rekrutimi i menaxherit dhe stafit të projektit; Monitorimi dhe vlerësimi i projekteve, prezentim,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</w:rPr>
              <w:t>WBS , Planifikimi i kohes dhe shpenzimeve</w:t>
            </w:r>
            <w:r w:rsidRPr="00BF3F05">
              <w:rPr>
                <w:i/>
                <w:lang w:val="sq-AL"/>
              </w:rPr>
              <w:t>,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lastRenderedPageBreak/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</w:rPr>
              <w:t>Rruga kritike dhe PERT , organizimi i projektit dhe kontrolli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rPr>
                <w:i/>
                <w:lang w:val="sq-AL"/>
              </w:rPr>
            </w:pPr>
            <w:r w:rsidRPr="00BF3F05">
              <w:rPr>
                <w:i/>
              </w:rPr>
              <w:t>Prezentim  dhe ushtrime ne MS PM</w:t>
            </w:r>
          </w:p>
        </w:tc>
      </w:tr>
      <w:tr w:rsidR="00BF3F05" w:rsidRPr="00FC47DF" w:rsidTr="00866624">
        <w:tc>
          <w:tcPr>
            <w:tcW w:w="2634" w:type="dxa"/>
          </w:tcPr>
          <w:p w:rsidR="00BF3F05" w:rsidRPr="00FC47DF" w:rsidRDefault="00BF3F05" w:rsidP="00BF3F05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BF3F05" w:rsidRPr="00BF3F05" w:rsidRDefault="00BF3F05" w:rsidP="00BF3F05">
            <w:pPr>
              <w:spacing w:after="200" w:line="276" w:lineRule="auto"/>
              <w:rPr>
                <w:i/>
                <w:lang w:val="sq-AL"/>
              </w:rPr>
            </w:pPr>
            <w:r w:rsidRPr="00BF3F05">
              <w:rPr>
                <w:i/>
              </w:rPr>
              <w:t>Prezentim  dhe ushtrime ne MS PM</w:t>
            </w:r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E0" w:rsidRDefault="008E23E0">
      <w:r>
        <w:separator/>
      </w:r>
    </w:p>
  </w:endnote>
  <w:endnote w:type="continuationSeparator" w:id="0">
    <w:p w:rsidR="008E23E0" w:rsidRDefault="008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DA9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E0" w:rsidRDefault="008E23E0">
      <w:r>
        <w:separator/>
      </w:r>
    </w:p>
  </w:footnote>
  <w:footnote w:type="continuationSeparator" w:id="0">
    <w:p w:rsidR="008E23E0" w:rsidRDefault="008E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FB1"/>
    <w:multiLevelType w:val="hybridMultilevel"/>
    <w:tmpl w:val="34F0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35F"/>
    <w:multiLevelType w:val="hybridMultilevel"/>
    <w:tmpl w:val="87B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3D2F7E8C"/>
    <w:multiLevelType w:val="hybridMultilevel"/>
    <w:tmpl w:val="324E4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B229D"/>
    <w:multiLevelType w:val="hybridMultilevel"/>
    <w:tmpl w:val="517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56942ED2"/>
    <w:multiLevelType w:val="hybridMultilevel"/>
    <w:tmpl w:val="C29A1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84DB5"/>
    <w:multiLevelType w:val="hybridMultilevel"/>
    <w:tmpl w:val="675C933E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92F08"/>
    <w:multiLevelType w:val="hybridMultilevel"/>
    <w:tmpl w:val="675C933E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  <w:num w:numId="16">
    <w:abstractNumId w:val="0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20E4E"/>
    <w:rsid w:val="00031020"/>
    <w:rsid w:val="00043592"/>
    <w:rsid w:val="00060E9F"/>
    <w:rsid w:val="00096CB5"/>
    <w:rsid w:val="000A104D"/>
    <w:rsid w:val="000B0AA4"/>
    <w:rsid w:val="000E4EB2"/>
    <w:rsid w:val="000F5330"/>
    <w:rsid w:val="00102557"/>
    <w:rsid w:val="00105C2D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1320"/>
    <w:rsid w:val="0033675A"/>
    <w:rsid w:val="00381B41"/>
    <w:rsid w:val="003B625C"/>
    <w:rsid w:val="003E3193"/>
    <w:rsid w:val="004570C5"/>
    <w:rsid w:val="004C0CCA"/>
    <w:rsid w:val="004E7034"/>
    <w:rsid w:val="00575364"/>
    <w:rsid w:val="00581DA9"/>
    <w:rsid w:val="005E71C7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B1E7E"/>
    <w:rsid w:val="008D008C"/>
    <w:rsid w:val="008D0608"/>
    <w:rsid w:val="008E23E0"/>
    <w:rsid w:val="008E26D5"/>
    <w:rsid w:val="00903474"/>
    <w:rsid w:val="00954F67"/>
    <w:rsid w:val="009B3F0A"/>
    <w:rsid w:val="009E2AF8"/>
    <w:rsid w:val="00A03A2F"/>
    <w:rsid w:val="00A12250"/>
    <w:rsid w:val="00A16111"/>
    <w:rsid w:val="00A545BA"/>
    <w:rsid w:val="00A662A0"/>
    <w:rsid w:val="00A70C41"/>
    <w:rsid w:val="00AA2C57"/>
    <w:rsid w:val="00AA3C2B"/>
    <w:rsid w:val="00AC08ED"/>
    <w:rsid w:val="00AE4E43"/>
    <w:rsid w:val="00AF464B"/>
    <w:rsid w:val="00AF79AF"/>
    <w:rsid w:val="00B35215"/>
    <w:rsid w:val="00B43F8F"/>
    <w:rsid w:val="00B52385"/>
    <w:rsid w:val="00B526A3"/>
    <w:rsid w:val="00B753C4"/>
    <w:rsid w:val="00B815D1"/>
    <w:rsid w:val="00B90C83"/>
    <w:rsid w:val="00B9556E"/>
    <w:rsid w:val="00BA6E9C"/>
    <w:rsid w:val="00BB1A1A"/>
    <w:rsid w:val="00BD2D20"/>
    <w:rsid w:val="00BF3F05"/>
    <w:rsid w:val="00C6155B"/>
    <w:rsid w:val="00CD6E12"/>
    <w:rsid w:val="00CD75BE"/>
    <w:rsid w:val="00CD7750"/>
    <w:rsid w:val="00CF116F"/>
    <w:rsid w:val="00D10BC6"/>
    <w:rsid w:val="00D26C9B"/>
    <w:rsid w:val="00D67209"/>
    <w:rsid w:val="00DB2823"/>
    <w:rsid w:val="00DF6543"/>
    <w:rsid w:val="00E34AB6"/>
    <w:rsid w:val="00E61CB8"/>
    <w:rsid w:val="00E64FDE"/>
    <w:rsid w:val="00E67BE4"/>
    <w:rsid w:val="00EF57F9"/>
    <w:rsid w:val="00F04222"/>
    <w:rsid w:val="00F34158"/>
    <w:rsid w:val="00F47480"/>
    <w:rsid w:val="00F5660C"/>
    <w:rsid w:val="00F979EE"/>
    <w:rsid w:val="00FB050B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C83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aliases w:val="Litertatu ne tab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3F05"/>
    <w:pPr>
      <w:spacing w:after="100"/>
    </w:pPr>
    <w:rPr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B90C83"/>
    <w:rPr>
      <w:rFonts w:eastAsiaTheme="majorEastAsia" w:cstheme="majorBidi"/>
      <w:b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11</cp:revision>
  <cp:lastPrinted>2011-03-07T09:39:00Z</cp:lastPrinted>
  <dcterms:created xsi:type="dcterms:W3CDTF">2019-01-30T20:30:00Z</dcterms:created>
  <dcterms:modified xsi:type="dcterms:W3CDTF">2019-03-20T12:20:00Z</dcterms:modified>
</cp:coreProperties>
</file>