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F1706A" w:rsidRDefault="004F7161" w:rsidP="00017376">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AC580C" w:rsidRDefault="00364FF1" w:rsidP="00AC580C">
            <w:pPr>
              <w:contextualSpacing/>
              <w:rPr>
                <w:rFonts w:asciiTheme="minorHAnsi" w:hAnsiTheme="minorHAnsi" w:cstheme="minorHAnsi"/>
                <w:b/>
                <w:sz w:val="22"/>
                <w:szCs w:val="22"/>
                <w:lang w:val="en-GB"/>
              </w:rPr>
            </w:pPr>
            <w:r w:rsidRPr="00364FF1">
              <w:rPr>
                <w:rFonts w:asciiTheme="minorHAnsi" w:hAnsiTheme="minorHAnsi" w:cstheme="minorHAnsi"/>
                <w:b/>
                <w:sz w:val="22"/>
                <w:szCs w:val="22"/>
                <w:lang w:val="en-GB" w:eastAsia="en-GB"/>
              </w:rPr>
              <w:t>Quality Management and Standards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B43C50" w:rsidP="00047751">
            <w:pPr>
              <w:pStyle w:val="NoSpacing"/>
              <w:rPr>
                <w:rFonts w:ascii="Calibri" w:hAnsi="Calibri" w:cs="Calibri"/>
                <w:b/>
                <w:sz w:val="22"/>
                <w:szCs w:val="22"/>
                <w:lang w:val="en-GB"/>
              </w:rPr>
            </w:pPr>
            <w:r>
              <w:rPr>
                <w:rFonts w:ascii="Calibri" w:hAnsi="Calibri" w:cs="Calibri"/>
                <w:b/>
                <w:sz w:val="22"/>
                <w:szCs w:val="22"/>
                <w:lang w:val="en-GB"/>
              </w:rPr>
              <w:t>I</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5F5BE4" w:rsidRPr="00E61CB8" w:rsidRDefault="00BF7AEA" w:rsidP="005F5BE4">
            <w:pPr>
              <w:pStyle w:val="NoSpacing"/>
              <w:rPr>
                <w:rFonts w:ascii="Calibri" w:hAnsi="Calibri"/>
                <w:b/>
                <w:szCs w:val="28"/>
                <w:lang w:val="sq-AL"/>
              </w:rPr>
            </w:pPr>
            <w:r>
              <w:rPr>
                <w:rFonts w:ascii="Calibri" w:hAnsi="Calibri"/>
                <w:b/>
                <w:szCs w:val="28"/>
                <w:lang w:val="sq-AL"/>
              </w:rPr>
              <w:t>Prof.As.Dr. Bislim Lekiqi</w:t>
            </w: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5F5BE4" w:rsidRPr="00E61CB8" w:rsidRDefault="005F5BE4" w:rsidP="005F5BE4">
            <w:pPr>
              <w:pStyle w:val="NoSpacing"/>
              <w:rPr>
                <w:rFonts w:ascii="Calibri" w:hAnsi="Calibri"/>
                <w:b/>
                <w:szCs w:val="28"/>
                <w:lang w:val="sq-AL"/>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364FF1" w:rsidP="00364FF1">
            <w:pPr>
              <w:autoSpaceDE w:val="0"/>
              <w:autoSpaceDN w:val="0"/>
              <w:adjustRightInd w:val="0"/>
              <w:jc w:val="both"/>
              <w:rPr>
                <w:rFonts w:ascii="Calibri" w:hAnsi="Calibri" w:cs="Calibri"/>
                <w:i/>
                <w:sz w:val="22"/>
                <w:szCs w:val="22"/>
                <w:lang w:val="en-GB"/>
              </w:rPr>
            </w:pPr>
            <w:r w:rsidRPr="00364FF1">
              <w:rPr>
                <w:rFonts w:ascii="Calibri" w:hAnsi="Calibri" w:cs="Calibri"/>
                <w:i/>
                <w:sz w:val="22"/>
                <w:szCs w:val="22"/>
                <w:lang w:val="en-GB"/>
              </w:rPr>
              <w:t>Importance of quality in company management. Concepts of quality management. The dimensions of the quality of goods and services. Evolution of quality management and quality gurus works. Quality policies and quality bodies: International and European quality bodies. European quality policy. International, regional and national standardization. Quality Conformity Assessment System in Europe. Management Systems and Quality Management Principles for Excellence: Quality Management Systems. Quality control methods. Quality audit and certification of management systems. Sustainable development. Environmental management systems. Occupational health and safety management system. Eco-labeling. Total quality management.</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5F5BE4" w:rsidRDefault="00EB4FB5" w:rsidP="00AC580C">
            <w:pPr>
              <w:jc w:val="both"/>
              <w:rPr>
                <w:rFonts w:ascii="Calibri" w:hAnsi="Calibri" w:cs="Calibri"/>
                <w:b/>
                <w:i/>
                <w:sz w:val="22"/>
                <w:szCs w:val="22"/>
                <w:lang w:val="en-GB"/>
              </w:rPr>
            </w:pPr>
            <w:r w:rsidRPr="00EB4FB5">
              <w:rPr>
                <w:rFonts w:asciiTheme="minorHAnsi" w:hAnsiTheme="minorHAnsi" w:cstheme="minorHAnsi"/>
                <w:i/>
                <w:sz w:val="22"/>
                <w:szCs w:val="22"/>
                <w:shd w:val="clear" w:color="auto" w:fill="FFFFFF"/>
              </w:rPr>
              <w:t xml:space="preserve">The purpose of the subject is to </w:t>
            </w:r>
            <w:r w:rsidR="00F2592C" w:rsidRPr="00EB4FB5">
              <w:rPr>
                <w:rFonts w:asciiTheme="minorHAnsi" w:hAnsiTheme="minorHAnsi" w:cstheme="minorHAnsi"/>
                <w:i/>
                <w:sz w:val="22"/>
                <w:szCs w:val="22"/>
                <w:shd w:val="clear" w:color="auto" w:fill="FFFFFF"/>
              </w:rPr>
              <w:t>introduce</w:t>
            </w:r>
            <w:r w:rsidRPr="00EB4FB5">
              <w:rPr>
                <w:rFonts w:asciiTheme="minorHAnsi" w:hAnsiTheme="minorHAnsi" w:cstheme="minorHAnsi"/>
                <w:i/>
                <w:sz w:val="22"/>
                <w:szCs w:val="22"/>
                <w:shd w:val="clear" w:color="auto" w:fill="FFFFFF"/>
              </w:rPr>
              <w:t xml:space="preserve"> students to quality standards, the best way to manage quality standards, the importance and role of quality management for company’s sustainability and development</w:t>
            </w:r>
            <w:r>
              <w:rPr>
                <w:rFonts w:asciiTheme="minorHAnsi" w:hAnsiTheme="minorHAnsi" w:cstheme="minorHAnsi"/>
                <w:i/>
                <w:sz w:val="22"/>
                <w:szCs w:val="22"/>
                <w:shd w:val="clear" w:color="auto" w:fill="FFFFFF"/>
              </w:rPr>
              <w:t>.</w:t>
            </w:r>
          </w:p>
        </w:tc>
      </w:tr>
      <w:tr w:rsidR="00047751" w:rsidRPr="00F1706A" w:rsidTr="00B43C50">
        <w:trPr>
          <w:trHeight w:val="350"/>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EB4FB5" w:rsidRPr="00685D0E" w:rsidRDefault="00EB4FB5" w:rsidP="00EB4FB5">
            <w:pPr>
              <w:pStyle w:val="ListParagraph"/>
              <w:numPr>
                <w:ilvl w:val="0"/>
                <w:numId w:val="21"/>
              </w:numPr>
              <w:tabs>
                <w:tab w:val="left" w:pos="702"/>
              </w:tabs>
              <w:rPr>
                <w:color w:val="000000" w:themeColor="text1"/>
                <w:sz w:val="22"/>
                <w:szCs w:val="22"/>
                <w:lang w:val="en-GB"/>
              </w:rPr>
            </w:pPr>
            <w:r w:rsidRPr="00685D0E">
              <w:rPr>
                <w:color w:val="000000" w:themeColor="text1"/>
                <w:sz w:val="22"/>
                <w:szCs w:val="22"/>
                <w:lang w:val="en-GB"/>
              </w:rPr>
              <w:t>understand the quality and quality standards, types and their importance for businesses,</w:t>
            </w:r>
          </w:p>
          <w:p w:rsidR="00EB4FB5" w:rsidRPr="00685D0E" w:rsidRDefault="00EB4FB5" w:rsidP="00EB4FB5">
            <w:pPr>
              <w:pStyle w:val="ListParagraph"/>
              <w:numPr>
                <w:ilvl w:val="0"/>
                <w:numId w:val="21"/>
              </w:numPr>
              <w:tabs>
                <w:tab w:val="left" w:pos="702"/>
              </w:tabs>
              <w:rPr>
                <w:color w:val="000000" w:themeColor="text1"/>
                <w:sz w:val="22"/>
                <w:szCs w:val="22"/>
                <w:lang w:val="en-GB"/>
              </w:rPr>
            </w:pPr>
            <w:r w:rsidRPr="00685D0E">
              <w:rPr>
                <w:color w:val="000000" w:themeColor="text1"/>
                <w:sz w:val="22"/>
                <w:szCs w:val="22"/>
                <w:lang w:val="en-GB"/>
              </w:rPr>
              <w:t>analyse quality management problem-solving techniques currently in use</w:t>
            </w:r>
          </w:p>
          <w:p w:rsidR="00EB4FB5" w:rsidRPr="00685D0E" w:rsidRDefault="00EB4FB5" w:rsidP="00EB4FB5">
            <w:pPr>
              <w:pStyle w:val="ListParagraph"/>
              <w:numPr>
                <w:ilvl w:val="0"/>
                <w:numId w:val="21"/>
              </w:numPr>
              <w:tabs>
                <w:tab w:val="left" w:pos="702"/>
              </w:tabs>
              <w:rPr>
                <w:color w:val="000000" w:themeColor="text1"/>
                <w:sz w:val="22"/>
                <w:szCs w:val="22"/>
                <w:lang w:val="en-GB"/>
              </w:rPr>
            </w:pPr>
            <w:r w:rsidRPr="00685D0E">
              <w:rPr>
                <w:color w:val="000000" w:themeColor="text1"/>
                <w:sz w:val="22"/>
                <w:szCs w:val="22"/>
                <w:lang w:val="en-GB"/>
              </w:rPr>
              <w:t>know principles of standardization and conformity assessment</w:t>
            </w:r>
          </w:p>
          <w:p w:rsidR="00047751" w:rsidRPr="003210C9" w:rsidRDefault="00EB4FB5" w:rsidP="00FD5C3E">
            <w:pPr>
              <w:pStyle w:val="ListParagraph"/>
              <w:numPr>
                <w:ilvl w:val="0"/>
                <w:numId w:val="21"/>
              </w:numPr>
              <w:tabs>
                <w:tab w:val="left" w:pos="702"/>
              </w:tabs>
              <w:rPr>
                <w:rFonts w:ascii="Calibri" w:hAnsi="Calibri" w:cs="Calibri"/>
                <w:i/>
                <w:sz w:val="22"/>
                <w:szCs w:val="22"/>
                <w:lang w:val="en-GB"/>
              </w:rPr>
            </w:pPr>
            <w:r w:rsidRPr="00685D0E">
              <w:rPr>
                <w:color w:val="000000" w:themeColor="text1"/>
                <w:sz w:val="22"/>
                <w:szCs w:val="22"/>
                <w:lang w:val="en-GB"/>
              </w:rPr>
              <w:t>know the usage of quality control methods for the analysis and solution of organizations’ problems including certification and audit of quality management systems</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lastRenderedPageBreak/>
              <w:t>Contacts with teacher / consultations</w:t>
            </w:r>
          </w:p>
        </w:tc>
        <w:tc>
          <w:tcPr>
            <w:tcW w:w="900" w:type="dxa"/>
            <w:tcBorders>
              <w:left w:val="single" w:sz="4" w:space="0" w:color="auto"/>
              <w:right w:val="single" w:sz="4" w:space="0" w:color="auto"/>
            </w:tcBorders>
            <w:shd w:val="clear" w:color="auto" w:fill="FFFFFF"/>
          </w:tcPr>
          <w:p w:rsidR="0019615F" w:rsidRPr="00E61CB8" w:rsidRDefault="00BF7AEA" w:rsidP="0019615F">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19615F" w:rsidRPr="00E61CB8" w:rsidRDefault="00BF7AEA" w:rsidP="0019615F">
            <w:pPr>
              <w:jc w:val="right"/>
              <w:rPr>
                <w:rFonts w:ascii="Calibri" w:hAnsi="Calibri"/>
                <w:color w:val="000000"/>
                <w:sz w:val="22"/>
                <w:szCs w:val="22"/>
                <w:lang w:val="sq-AL"/>
              </w:rPr>
            </w:pPr>
            <w:r>
              <w:rPr>
                <w:rFonts w:ascii="Calibri" w:hAnsi="Calibri"/>
                <w:color w:val="000000"/>
                <w:sz w:val="22"/>
                <w:szCs w:val="22"/>
                <w:lang w:val="sq-AL"/>
              </w:rPr>
              <w:t>4</w:t>
            </w:r>
          </w:p>
        </w:tc>
        <w:tc>
          <w:tcPr>
            <w:tcW w:w="1693" w:type="dxa"/>
            <w:tcBorders>
              <w:left w:val="single" w:sz="4" w:space="0" w:color="auto"/>
            </w:tcBorders>
            <w:shd w:val="clear" w:color="auto" w:fill="FFFFFF"/>
          </w:tcPr>
          <w:p w:rsidR="0019615F" w:rsidRPr="00E61CB8" w:rsidRDefault="00BF7AEA" w:rsidP="0019615F">
            <w:pPr>
              <w:jc w:val="right"/>
              <w:rPr>
                <w:rFonts w:ascii="Calibri" w:hAnsi="Calibri"/>
                <w:color w:val="000000"/>
                <w:sz w:val="22"/>
                <w:szCs w:val="22"/>
                <w:lang w:val="sq-AL"/>
              </w:rPr>
            </w:pPr>
            <w:r>
              <w:rPr>
                <w:rFonts w:ascii="Calibri" w:hAnsi="Calibri"/>
                <w:color w:val="000000"/>
                <w:sz w:val="22"/>
                <w:szCs w:val="22"/>
                <w:lang w:val="sq-AL"/>
              </w:rPr>
              <w:t>8</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19615F" w:rsidRPr="00E61CB8" w:rsidRDefault="00BF7AEA" w:rsidP="0019615F">
            <w:pPr>
              <w:jc w:val="right"/>
              <w:rPr>
                <w:rFonts w:ascii="Calibri" w:hAnsi="Calibri"/>
                <w:color w:val="000000"/>
                <w:sz w:val="22"/>
                <w:szCs w:val="22"/>
                <w:lang w:val="sq-AL"/>
              </w:rPr>
            </w:pPr>
            <w:r>
              <w:rPr>
                <w:rFonts w:ascii="Calibri" w:hAnsi="Calibri"/>
                <w:color w:val="000000"/>
                <w:sz w:val="22"/>
                <w:szCs w:val="22"/>
                <w:lang w:val="sq-AL"/>
              </w:rPr>
              <w:t>20</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BF7AEA" w:rsidP="0019615F">
            <w:pPr>
              <w:jc w:val="right"/>
              <w:rPr>
                <w:rFonts w:ascii="Calibri" w:hAnsi="Calibri"/>
                <w:color w:val="000000"/>
                <w:sz w:val="22"/>
                <w:szCs w:val="22"/>
                <w:lang w:val="sq-AL"/>
              </w:rPr>
            </w:pPr>
            <w:r>
              <w:rPr>
                <w:rFonts w:ascii="Calibri" w:hAnsi="Calibri"/>
                <w:color w:val="000000"/>
                <w:sz w:val="22"/>
                <w:szCs w:val="22"/>
                <w:lang w:val="sq-AL"/>
              </w:rPr>
              <w:t>20</w:t>
            </w:r>
            <w:bookmarkStart w:id="0" w:name="_GoBack"/>
            <w:bookmarkEnd w:id="0"/>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19615F" w:rsidRPr="00E61CB8" w:rsidRDefault="00BF7AEA" w:rsidP="0019615F">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BF7AEA" w:rsidP="0019615F">
            <w:pPr>
              <w:jc w:val="right"/>
              <w:rPr>
                <w:rFonts w:ascii="Calibri" w:hAnsi="Calibri"/>
                <w:color w:val="000000"/>
                <w:sz w:val="22"/>
                <w:szCs w:val="22"/>
                <w:lang w:val="sq-AL"/>
              </w:rPr>
            </w:pPr>
            <w:r>
              <w:rPr>
                <w:rFonts w:ascii="Calibri" w:hAnsi="Calibri"/>
                <w:color w:val="000000"/>
                <w:sz w:val="22"/>
                <w:szCs w:val="22"/>
                <w:lang w:val="sq-AL"/>
              </w:rPr>
              <w:t>2</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r>
      <w:tr w:rsidR="0019615F" w:rsidRPr="00F1706A" w:rsidTr="009D451F">
        <w:trPr>
          <w:trHeight w:val="413"/>
        </w:trPr>
        <w:tc>
          <w:tcPr>
            <w:tcW w:w="4338" w:type="dxa"/>
            <w:gridSpan w:val="2"/>
            <w:tcBorders>
              <w:right w:val="single" w:sz="4" w:space="0" w:color="auto"/>
            </w:tcBorders>
            <w:shd w:val="clear" w:color="auto" w:fill="D9D9D9"/>
          </w:tcPr>
          <w:p w:rsidR="0019615F" w:rsidRPr="00F1706A" w:rsidRDefault="0019615F" w:rsidP="0019615F">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574"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693" w:type="dxa"/>
            <w:tcBorders>
              <w:left w:val="single" w:sz="4" w:space="0" w:color="auto"/>
            </w:tcBorders>
            <w:shd w:val="clear" w:color="auto" w:fill="D9D9D9"/>
          </w:tcPr>
          <w:p w:rsidR="0019615F" w:rsidRPr="00E61CB8" w:rsidRDefault="0019615F" w:rsidP="0019615F">
            <w:pPr>
              <w:jc w:val="right"/>
              <w:rPr>
                <w:rFonts w:ascii="Calibri" w:hAnsi="Calibri" w:cs="Arial"/>
                <w:b/>
                <w:sz w:val="22"/>
                <w:szCs w:val="22"/>
                <w:lang w:val="sq-AL"/>
              </w:rPr>
            </w:pPr>
            <w:r w:rsidRPr="00E61CB8">
              <w:rPr>
                <w:rFonts w:ascii="Calibri" w:hAnsi="Calibri" w:cs="Arial"/>
                <w:b/>
                <w:sz w:val="22"/>
                <w:szCs w:val="22"/>
                <w:lang w:val="sq-AL"/>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B27201" w:rsidRPr="00F1706A" w:rsidRDefault="00EB4FB5" w:rsidP="00B27201">
            <w:pPr>
              <w:rPr>
                <w:rFonts w:ascii="Calibri" w:hAnsi="Calibri" w:cs="Calibri"/>
                <w:i/>
                <w:sz w:val="22"/>
                <w:szCs w:val="22"/>
                <w:lang w:val="en-GB"/>
              </w:rPr>
            </w:pPr>
            <w:r w:rsidRPr="00685D0E">
              <w:rPr>
                <w:color w:val="000000" w:themeColor="text1"/>
                <w:sz w:val="22"/>
                <w:szCs w:val="22"/>
                <w:lang w:val="en-GB"/>
              </w:rPr>
              <w:t>Lectures combined with interactive group exercises and discussions for case studies</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B27201" w:rsidRPr="00F1706A" w:rsidRDefault="00EB4FB5" w:rsidP="00B27201">
            <w:pPr>
              <w:rPr>
                <w:rFonts w:ascii="Calibri" w:hAnsi="Calibri" w:cs="Calibri"/>
                <w:lang w:val="en-GB"/>
              </w:rPr>
            </w:pPr>
            <w:r w:rsidRPr="00685D0E">
              <w:rPr>
                <w:color w:val="000000" w:themeColor="text1"/>
                <w:sz w:val="22"/>
                <w:szCs w:val="22"/>
                <w:lang w:val="en-GB"/>
              </w:rPr>
              <w:t>Final Exam 100 %</w:t>
            </w: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9C2EE8" w:rsidRPr="005D08D5" w:rsidRDefault="00EB4FB5" w:rsidP="009C2EE8">
            <w:pPr>
              <w:widowControl w:val="0"/>
              <w:autoSpaceDE w:val="0"/>
              <w:autoSpaceDN w:val="0"/>
              <w:adjustRightInd w:val="0"/>
              <w:jc w:val="both"/>
              <w:rPr>
                <w:rFonts w:ascii="Calibri" w:hAnsi="Calibri" w:cs="Arial"/>
                <w:sz w:val="22"/>
                <w:szCs w:val="22"/>
              </w:rPr>
            </w:pPr>
            <w:r>
              <w:rPr>
                <w:rFonts w:ascii="Calibri" w:hAnsi="Calibri" w:cs="Arial"/>
                <w:sz w:val="22"/>
                <w:szCs w:val="22"/>
              </w:rPr>
              <w:t xml:space="preserve">1. </w:t>
            </w:r>
            <w:r w:rsidRPr="00EB4FB5">
              <w:rPr>
                <w:rFonts w:ascii="Calibri" w:hAnsi="Calibri" w:cs="Arial"/>
                <w:sz w:val="22"/>
                <w:szCs w:val="22"/>
              </w:rPr>
              <w:t>David L Goetsch, PhD and Stanley Davis:”Quality management for organizational Excellence”, sixth edition, London 2010,</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9C2EE8" w:rsidRPr="005D08D5" w:rsidRDefault="00EB4FB5" w:rsidP="00EB4FB5">
            <w:pPr>
              <w:widowControl w:val="0"/>
              <w:autoSpaceDE w:val="0"/>
              <w:autoSpaceDN w:val="0"/>
              <w:adjustRightInd w:val="0"/>
              <w:jc w:val="both"/>
              <w:rPr>
                <w:rFonts w:ascii="Calibri" w:hAnsi="Calibri" w:cs="Arial"/>
                <w:sz w:val="22"/>
                <w:szCs w:val="22"/>
              </w:rPr>
            </w:pPr>
            <w:r>
              <w:rPr>
                <w:rFonts w:ascii="Calibri" w:hAnsi="Calibri" w:cs="Arial"/>
                <w:sz w:val="22"/>
                <w:szCs w:val="22"/>
              </w:rPr>
              <w:t>2. J</w:t>
            </w:r>
            <w:r w:rsidRPr="00685D0E">
              <w:rPr>
                <w:color w:val="000000" w:themeColor="text1"/>
                <w:sz w:val="22"/>
                <w:szCs w:val="22"/>
                <w:lang w:val="en-GB"/>
              </w:rPr>
              <w:t xml:space="preserve">.R. Evans, W.M. Lindsay: The Management and Control of Quality: West Publishing Company 1996,  </w:t>
            </w:r>
          </w:p>
        </w:tc>
      </w:tr>
      <w:tr w:rsidR="00770175" w:rsidRPr="00F1706A" w:rsidTr="00D603CF">
        <w:tc>
          <w:tcPr>
            <w:tcW w:w="2977" w:type="dxa"/>
            <w:tcBorders>
              <w:top w:val="single" w:sz="4" w:space="0" w:color="000000"/>
              <w:left w:val="single" w:sz="4" w:space="0" w:color="000000"/>
              <w:bottom w:val="single" w:sz="4" w:space="0" w:color="000000"/>
              <w:right w:val="single" w:sz="4" w:space="0" w:color="000000"/>
            </w:tcBorders>
            <w:vAlign w:val="center"/>
          </w:tcPr>
          <w:p w:rsidR="00770175" w:rsidRPr="00F1706A" w:rsidRDefault="00770175" w:rsidP="00D603CF">
            <w:pPr>
              <w:rPr>
                <w:rFonts w:ascii="Calibri" w:hAnsi="Calibri" w:cs="Calibri"/>
                <w:b/>
                <w:color w:val="000000"/>
                <w:lang w:val="en-GB"/>
              </w:rPr>
            </w:pPr>
            <w:r w:rsidRPr="00F1706A">
              <w:rPr>
                <w:rFonts w:ascii="Calibri" w:hAnsi="Calibri" w:cs="Calibri"/>
                <w:b/>
                <w:color w:val="000000"/>
                <w:sz w:val="22"/>
                <w:szCs w:val="22"/>
                <w:lang w:val="en-GB"/>
              </w:rPr>
              <w:t>The ratio of theory and practice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770175" w:rsidRPr="00C0728D" w:rsidRDefault="00770175" w:rsidP="00D603CF">
            <w:pPr>
              <w:tabs>
                <w:tab w:val="left" w:pos="732"/>
              </w:tabs>
              <w:rPr>
                <w:rFonts w:ascii="Calibri" w:hAnsi="Calibri" w:cs="Calibri"/>
                <w:i/>
                <w:color w:val="000000"/>
                <w:sz w:val="22"/>
                <w:szCs w:val="22"/>
                <w:highlight w:val="yellow"/>
                <w:lang w:val="en-GB"/>
              </w:rPr>
            </w:pPr>
            <w:r>
              <w:rPr>
                <w:rFonts w:ascii="Calibri" w:hAnsi="Calibri" w:cs="Calibri"/>
                <w:i/>
                <w:color w:val="000000"/>
                <w:sz w:val="22"/>
                <w:szCs w:val="22"/>
                <w:lang w:val="en-GB"/>
              </w:rPr>
              <w:t>6</w:t>
            </w:r>
            <w:r w:rsidRPr="00E74439">
              <w:rPr>
                <w:rFonts w:ascii="Calibri" w:hAnsi="Calibri" w:cs="Calibri"/>
                <w:i/>
                <w:color w:val="000000"/>
                <w:sz w:val="22"/>
                <w:szCs w:val="22"/>
                <w:lang w:val="en-GB"/>
              </w:rPr>
              <w:t xml:space="preserve">0% theory with numerical exercises and </w:t>
            </w:r>
            <w:r>
              <w:rPr>
                <w:rFonts w:ascii="Calibri" w:hAnsi="Calibri" w:cs="Calibri"/>
                <w:i/>
                <w:color w:val="000000"/>
                <w:sz w:val="22"/>
                <w:szCs w:val="22"/>
                <w:lang w:val="en-GB"/>
              </w:rPr>
              <w:t>40</w:t>
            </w:r>
            <w:r w:rsidRPr="00E74439">
              <w:rPr>
                <w:rFonts w:ascii="Calibri" w:hAnsi="Calibri" w:cs="Calibri"/>
                <w:i/>
                <w:color w:val="000000"/>
                <w:sz w:val="22"/>
                <w:szCs w:val="22"/>
                <w:lang w:val="en-GB"/>
              </w:rPr>
              <w:t>% laboratory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one:</w:t>
            </w:r>
          </w:p>
        </w:tc>
        <w:tc>
          <w:tcPr>
            <w:tcW w:w="5984" w:type="dxa"/>
          </w:tcPr>
          <w:p w:rsidR="00FD5D72" w:rsidRPr="00FD5D72" w:rsidRDefault="00FD5D72" w:rsidP="00930F8F">
            <w:pPr>
              <w:widowControl w:val="0"/>
              <w:autoSpaceDE w:val="0"/>
              <w:autoSpaceDN w:val="0"/>
              <w:adjustRightInd w:val="0"/>
              <w:jc w:val="both"/>
              <w:rPr>
                <w:rFonts w:ascii="Calibri" w:hAnsi="Calibri" w:cs="Arial"/>
                <w:i/>
                <w:sz w:val="22"/>
                <w:szCs w:val="22"/>
              </w:rPr>
            </w:pPr>
            <w:r w:rsidRPr="00FD5D72">
              <w:rPr>
                <w:rFonts w:ascii="Calibri" w:hAnsi="Calibri" w:cs="Arial"/>
                <w:i/>
                <w:sz w:val="22"/>
                <w:szCs w:val="22"/>
              </w:rPr>
              <w:t>Introductio</w:t>
            </w:r>
            <w:r w:rsidR="00930F8F">
              <w:rPr>
                <w:rFonts w:ascii="Calibri" w:hAnsi="Calibri" w:cs="Arial"/>
                <w:i/>
                <w:sz w:val="22"/>
                <w:szCs w:val="22"/>
              </w:rPr>
              <w:t xml:space="preserve">n: </w:t>
            </w:r>
            <w:r w:rsidR="00EB4FB5" w:rsidRPr="00EB4FB5">
              <w:rPr>
                <w:rFonts w:ascii="Calibri" w:hAnsi="Calibri" w:cs="Arial"/>
                <w:i/>
                <w:sz w:val="22"/>
                <w:szCs w:val="22"/>
              </w:rPr>
              <w:t xml:space="preserve">Importance of quality in the management of company. </w:t>
            </w:r>
          </w:p>
        </w:tc>
      </w:tr>
      <w:tr w:rsidR="00FD5D72" w:rsidRPr="00F1706A" w:rsidTr="00930F8F">
        <w:trPr>
          <w:trHeight w:val="268"/>
        </w:trPr>
        <w:tc>
          <w:tcPr>
            <w:tcW w:w="2516" w:type="dxa"/>
          </w:tcPr>
          <w:p w:rsidR="00FD5D72" w:rsidRPr="00F1706A" w:rsidRDefault="00FD5D72" w:rsidP="00FD5D72">
            <w:pPr>
              <w:rPr>
                <w:rFonts w:ascii="Calibri" w:hAnsi="Calibri" w:cs="Calibri"/>
                <w:b/>
              </w:rPr>
            </w:pPr>
            <w:r w:rsidRPr="00F1706A">
              <w:rPr>
                <w:rFonts w:ascii="Calibri" w:hAnsi="Calibri" w:cs="Calibri"/>
                <w:b/>
              </w:rPr>
              <w:t>Week two:</w:t>
            </w:r>
          </w:p>
        </w:tc>
        <w:tc>
          <w:tcPr>
            <w:tcW w:w="5984" w:type="dxa"/>
          </w:tcPr>
          <w:p w:rsidR="00FD5D72" w:rsidRPr="00FD5D72" w:rsidRDefault="00930F8F" w:rsidP="00930F8F">
            <w:pPr>
              <w:widowControl w:val="0"/>
              <w:autoSpaceDE w:val="0"/>
              <w:autoSpaceDN w:val="0"/>
              <w:adjustRightInd w:val="0"/>
              <w:jc w:val="both"/>
              <w:rPr>
                <w:rFonts w:ascii="Calibri" w:hAnsi="Calibri" w:cs="Arial"/>
                <w:i/>
                <w:sz w:val="22"/>
                <w:szCs w:val="22"/>
              </w:rPr>
            </w:pPr>
            <w:r>
              <w:rPr>
                <w:rFonts w:ascii="Calibri" w:hAnsi="Calibri" w:cs="Arial"/>
                <w:i/>
                <w:sz w:val="22"/>
                <w:szCs w:val="22"/>
              </w:rPr>
              <w:t>Concepts of quality management.</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three:</w:t>
            </w:r>
          </w:p>
        </w:tc>
        <w:tc>
          <w:tcPr>
            <w:tcW w:w="5984" w:type="dxa"/>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Quality di</w:t>
            </w:r>
            <w:r>
              <w:rPr>
                <w:rFonts w:ascii="Calibri" w:hAnsi="Calibri" w:cs="Arial"/>
                <w:i/>
                <w:sz w:val="22"/>
                <w:szCs w:val="22"/>
              </w:rPr>
              <w:t>mensions of goods and services.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Quality management evolution and works of quality gurus.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Quality policy and quality organizations: International and European quality organizations</w:t>
            </w:r>
            <w:r>
              <w:rPr>
                <w:rFonts w:ascii="Calibri" w:hAnsi="Calibri" w:cs="Arial"/>
                <w:i/>
                <w:sz w:val="22"/>
                <w:szCs w:val="22"/>
              </w:rPr>
              <w:t>.</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European quality policy. International, regiona</w:t>
            </w:r>
            <w:r>
              <w:rPr>
                <w:rFonts w:ascii="Calibri" w:hAnsi="Calibri" w:cs="Arial"/>
                <w:i/>
                <w:sz w:val="22"/>
                <w:szCs w:val="22"/>
              </w:rPr>
              <w:t>l and national standardization.</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System of assessment of quality conformity in Europe.</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Management systems and quality management principles for excellence: Quality management systems</w:t>
            </w:r>
            <w:r>
              <w:rPr>
                <w:rFonts w:ascii="Calibri" w:hAnsi="Calibri" w:cs="Arial"/>
                <w:i/>
                <w:sz w:val="22"/>
                <w:szCs w:val="22"/>
              </w:rPr>
              <w:t>.</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Quality control methods.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Quality audit and certification of management systems.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Sustainable development.</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Environment management systems</w:t>
            </w:r>
            <w:r>
              <w:rPr>
                <w:rFonts w:ascii="Calibri" w:hAnsi="Calibri" w:cs="Arial"/>
                <w:i/>
                <w:sz w:val="22"/>
                <w:szCs w:val="22"/>
              </w:rPr>
              <w:t>.</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Occupational health and safety management system.</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930F8F">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Eco-labelling.</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930F8F" w:rsidP="00FD5D72">
            <w:pPr>
              <w:widowControl w:val="0"/>
              <w:autoSpaceDE w:val="0"/>
              <w:autoSpaceDN w:val="0"/>
              <w:adjustRightInd w:val="0"/>
              <w:jc w:val="both"/>
              <w:rPr>
                <w:rFonts w:ascii="Calibri" w:hAnsi="Calibri" w:cs="Arial"/>
                <w:i/>
                <w:sz w:val="22"/>
                <w:szCs w:val="22"/>
              </w:rPr>
            </w:pPr>
            <w:r w:rsidRPr="00EB4FB5">
              <w:rPr>
                <w:rFonts w:ascii="Calibri" w:hAnsi="Calibri" w:cs="Arial"/>
                <w:i/>
                <w:sz w:val="22"/>
                <w:szCs w:val="22"/>
              </w:rPr>
              <w:t>Total quality management.</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lastRenderedPageBreak/>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956" w:rsidRDefault="00870956">
      <w:r>
        <w:separator/>
      </w:r>
    </w:p>
  </w:endnote>
  <w:endnote w:type="continuationSeparator" w:id="0">
    <w:p w:rsidR="00870956" w:rsidRDefault="0087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BF7AEA">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956" w:rsidRDefault="00870956">
      <w:r>
        <w:separator/>
      </w:r>
    </w:p>
  </w:footnote>
  <w:footnote w:type="continuationSeparator" w:id="0">
    <w:p w:rsidR="00870956" w:rsidRDefault="00870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E80269D"/>
    <w:multiLevelType w:val="hybridMultilevel"/>
    <w:tmpl w:val="055C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46231"/>
    <w:multiLevelType w:val="hybridMultilevel"/>
    <w:tmpl w:val="5BC4D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7"/>
  </w:num>
  <w:num w:numId="5">
    <w:abstractNumId w:val="15"/>
  </w:num>
  <w:num w:numId="6">
    <w:abstractNumId w:val="1"/>
  </w:num>
  <w:num w:numId="7">
    <w:abstractNumId w:val="4"/>
  </w:num>
  <w:num w:numId="8">
    <w:abstractNumId w:val="0"/>
  </w:num>
  <w:num w:numId="9">
    <w:abstractNumId w:val="13"/>
  </w:num>
  <w:num w:numId="10">
    <w:abstractNumId w:val="18"/>
  </w:num>
  <w:num w:numId="11">
    <w:abstractNumId w:val="10"/>
  </w:num>
  <w:num w:numId="12">
    <w:abstractNumId w:val="12"/>
  </w:num>
  <w:num w:numId="13">
    <w:abstractNumId w:val="16"/>
  </w:num>
  <w:num w:numId="14">
    <w:abstractNumId w:val="9"/>
  </w:num>
  <w:num w:numId="15">
    <w:abstractNumId w:val="3"/>
  </w:num>
  <w:num w:numId="16">
    <w:abstractNumId w:val="6"/>
  </w:num>
  <w:num w:numId="17">
    <w:abstractNumId w:val="8"/>
  </w:num>
  <w:num w:numId="18">
    <w:abstractNumId w:val="14"/>
  </w:num>
  <w:num w:numId="19">
    <w:abstractNumId w:val="7"/>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31020"/>
    <w:rsid w:val="00033E36"/>
    <w:rsid w:val="000370A1"/>
    <w:rsid w:val="00042B53"/>
    <w:rsid w:val="00043592"/>
    <w:rsid w:val="00046724"/>
    <w:rsid w:val="00047751"/>
    <w:rsid w:val="00054C6F"/>
    <w:rsid w:val="00056A4B"/>
    <w:rsid w:val="00060E9F"/>
    <w:rsid w:val="0008705E"/>
    <w:rsid w:val="000949E2"/>
    <w:rsid w:val="000A34D4"/>
    <w:rsid w:val="000B0CEE"/>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2604"/>
    <w:rsid w:val="00151B79"/>
    <w:rsid w:val="0015259D"/>
    <w:rsid w:val="001725A0"/>
    <w:rsid w:val="001732F9"/>
    <w:rsid w:val="00175139"/>
    <w:rsid w:val="00183923"/>
    <w:rsid w:val="00190FEF"/>
    <w:rsid w:val="001950EF"/>
    <w:rsid w:val="0019615F"/>
    <w:rsid w:val="00197831"/>
    <w:rsid w:val="001A07AE"/>
    <w:rsid w:val="001A0B51"/>
    <w:rsid w:val="001A315F"/>
    <w:rsid w:val="001B2C19"/>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66FE"/>
    <w:rsid w:val="002523EF"/>
    <w:rsid w:val="00252B87"/>
    <w:rsid w:val="002610A3"/>
    <w:rsid w:val="002622BB"/>
    <w:rsid w:val="00267BF3"/>
    <w:rsid w:val="00280928"/>
    <w:rsid w:val="00286166"/>
    <w:rsid w:val="00287A1D"/>
    <w:rsid w:val="002A624B"/>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64FF1"/>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64ED"/>
    <w:rsid w:val="00447241"/>
    <w:rsid w:val="00447D13"/>
    <w:rsid w:val="00452C91"/>
    <w:rsid w:val="00455443"/>
    <w:rsid w:val="00474691"/>
    <w:rsid w:val="00495C5D"/>
    <w:rsid w:val="004A2D17"/>
    <w:rsid w:val="004A717F"/>
    <w:rsid w:val="004C0CCA"/>
    <w:rsid w:val="004C662C"/>
    <w:rsid w:val="004D2578"/>
    <w:rsid w:val="004D6136"/>
    <w:rsid w:val="004F07BA"/>
    <w:rsid w:val="004F5E03"/>
    <w:rsid w:val="004F7161"/>
    <w:rsid w:val="00511324"/>
    <w:rsid w:val="00512297"/>
    <w:rsid w:val="005155CC"/>
    <w:rsid w:val="005202CF"/>
    <w:rsid w:val="00520B29"/>
    <w:rsid w:val="00524E3C"/>
    <w:rsid w:val="0053173C"/>
    <w:rsid w:val="00532983"/>
    <w:rsid w:val="0053434C"/>
    <w:rsid w:val="005355AB"/>
    <w:rsid w:val="005404EB"/>
    <w:rsid w:val="00541B70"/>
    <w:rsid w:val="00544CA1"/>
    <w:rsid w:val="005450DB"/>
    <w:rsid w:val="00545236"/>
    <w:rsid w:val="005472F8"/>
    <w:rsid w:val="005510E8"/>
    <w:rsid w:val="0055198C"/>
    <w:rsid w:val="00552E24"/>
    <w:rsid w:val="005660F5"/>
    <w:rsid w:val="00592C48"/>
    <w:rsid w:val="00595545"/>
    <w:rsid w:val="00596D31"/>
    <w:rsid w:val="005A0638"/>
    <w:rsid w:val="005A1C1C"/>
    <w:rsid w:val="005A541E"/>
    <w:rsid w:val="005D2ECF"/>
    <w:rsid w:val="005D34E1"/>
    <w:rsid w:val="005E4C8D"/>
    <w:rsid w:val="005F3F47"/>
    <w:rsid w:val="005F5BE4"/>
    <w:rsid w:val="00603DD2"/>
    <w:rsid w:val="00610BA3"/>
    <w:rsid w:val="00611349"/>
    <w:rsid w:val="0061222D"/>
    <w:rsid w:val="00613073"/>
    <w:rsid w:val="00613C4A"/>
    <w:rsid w:val="00615629"/>
    <w:rsid w:val="00622968"/>
    <w:rsid w:val="006347E5"/>
    <w:rsid w:val="00636B62"/>
    <w:rsid w:val="00644910"/>
    <w:rsid w:val="00652832"/>
    <w:rsid w:val="006550AD"/>
    <w:rsid w:val="00664BB4"/>
    <w:rsid w:val="00670E3C"/>
    <w:rsid w:val="0067693D"/>
    <w:rsid w:val="00692298"/>
    <w:rsid w:val="006A24D9"/>
    <w:rsid w:val="006A6411"/>
    <w:rsid w:val="006C0856"/>
    <w:rsid w:val="006C19C3"/>
    <w:rsid w:val="006C1D2E"/>
    <w:rsid w:val="006D6F7C"/>
    <w:rsid w:val="006D7FB4"/>
    <w:rsid w:val="006E4F16"/>
    <w:rsid w:val="006E7074"/>
    <w:rsid w:val="006F116D"/>
    <w:rsid w:val="006F1DB9"/>
    <w:rsid w:val="007002DD"/>
    <w:rsid w:val="007038CC"/>
    <w:rsid w:val="007041FC"/>
    <w:rsid w:val="00706131"/>
    <w:rsid w:val="007205FB"/>
    <w:rsid w:val="00742C60"/>
    <w:rsid w:val="00746CB2"/>
    <w:rsid w:val="00746D8D"/>
    <w:rsid w:val="00765E0C"/>
    <w:rsid w:val="00770175"/>
    <w:rsid w:val="00777D28"/>
    <w:rsid w:val="00781805"/>
    <w:rsid w:val="00792D1F"/>
    <w:rsid w:val="00797BF4"/>
    <w:rsid w:val="007A587A"/>
    <w:rsid w:val="007A7CE0"/>
    <w:rsid w:val="007B1510"/>
    <w:rsid w:val="007B4EC4"/>
    <w:rsid w:val="007B68A2"/>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433B9"/>
    <w:rsid w:val="00870956"/>
    <w:rsid w:val="00874134"/>
    <w:rsid w:val="00875C6C"/>
    <w:rsid w:val="00877801"/>
    <w:rsid w:val="008806DF"/>
    <w:rsid w:val="00882B7C"/>
    <w:rsid w:val="00884206"/>
    <w:rsid w:val="0088581A"/>
    <w:rsid w:val="00893794"/>
    <w:rsid w:val="008A439B"/>
    <w:rsid w:val="008A716D"/>
    <w:rsid w:val="008B41A4"/>
    <w:rsid w:val="008B6662"/>
    <w:rsid w:val="008C0B3B"/>
    <w:rsid w:val="008C2EDE"/>
    <w:rsid w:val="008C6582"/>
    <w:rsid w:val="008D0608"/>
    <w:rsid w:val="008D1531"/>
    <w:rsid w:val="008D2609"/>
    <w:rsid w:val="008F6B22"/>
    <w:rsid w:val="00903474"/>
    <w:rsid w:val="00930F8F"/>
    <w:rsid w:val="00932200"/>
    <w:rsid w:val="00973B75"/>
    <w:rsid w:val="00980917"/>
    <w:rsid w:val="00987E36"/>
    <w:rsid w:val="009902E4"/>
    <w:rsid w:val="009B2560"/>
    <w:rsid w:val="009B3F0A"/>
    <w:rsid w:val="009C2EE8"/>
    <w:rsid w:val="009E0C25"/>
    <w:rsid w:val="009E2AF8"/>
    <w:rsid w:val="00A11746"/>
    <w:rsid w:val="00A513D4"/>
    <w:rsid w:val="00A545BA"/>
    <w:rsid w:val="00A662A0"/>
    <w:rsid w:val="00A679A5"/>
    <w:rsid w:val="00A67A3C"/>
    <w:rsid w:val="00A71997"/>
    <w:rsid w:val="00A820C7"/>
    <w:rsid w:val="00A850EB"/>
    <w:rsid w:val="00AA2C57"/>
    <w:rsid w:val="00AA3C2B"/>
    <w:rsid w:val="00AA6891"/>
    <w:rsid w:val="00AB1381"/>
    <w:rsid w:val="00AB580D"/>
    <w:rsid w:val="00AB7218"/>
    <w:rsid w:val="00AC08ED"/>
    <w:rsid w:val="00AC580C"/>
    <w:rsid w:val="00AF163E"/>
    <w:rsid w:val="00AF1A58"/>
    <w:rsid w:val="00B27201"/>
    <w:rsid w:val="00B35215"/>
    <w:rsid w:val="00B358E8"/>
    <w:rsid w:val="00B43C50"/>
    <w:rsid w:val="00B61689"/>
    <w:rsid w:val="00B6402C"/>
    <w:rsid w:val="00B651E2"/>
    <w:rsid w:val="00B7626A"/>
    <w:rsid w:val="00B81013"/>
    <w:rsid w:val="00B815D1"/>
    <w:rsid w:val="00BA1018"/>
    <w:rsid w:val="00BA2DC5"/>
    <w:rsid w:val="00BA6E9C"/>
    <w:rsid w:val="00BB1A1A"/>
    <w:rsid w:val="00BC2480"/>
    <w:rsid w:val="00BC2D2E"/>
    <w:rsid w:val="00BC3EF0"/>
    <w:rsid w:val="00BC6DB6"/>
    <w:rsid w:val="00BC6F4F"/>
    <w:rsid w:val="00BD6C98"/>
    <w:rsid w:val="00BD6F03"/>
    <w:rsid w:val="00BE10A1"/>
    <w:rsid w:val="00BE4114"/>
    <w:rsid w:val="00BE4D21"/>
    <w:rsid w:val="00BE6079"/>
    <w:rsid w:val="00BF5A89"/>
    <w:rsid w:val="00BF7AEA"/>
    <w:rsid w:val="00C025B6"/>
    <w:rsid w:val="00C0674B"/>
    <w:rsid w:val="00C0728D"/>
    <w:rsid w:val="00C07CB8"/>
    <w:rsid w:val="00C2710B"/>
    <w:rsid w:val="00C327C3"/>
    <w:rsid w:val="00C3690A"/>
    <w:rsid w:val="00C37B76"/>
    <w:rsid w:val="00C417C7"/>
    <w:rsid w:val="00C45912"/>
    <w:rsid w:val="00C467B8"/>
    <w:rsid w:val="00C56C9E"/>
    <w:rsid w:val="00C6155B"/>
    <w:rsid w:val="00C73428"/>
    <w:rsid w:val="00C840B9"/>
    <w:rsid w:val="00C95626"/>
    <w:rsid w:val="00C96A6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42EBC"/>
    <w:rsid w:val="00D5477E"/>
    <w:rsid w:val="00D67209"/>
    <w:rsid w:val="00D707FE"/>
    <w:rsid w:val="00D879C8"/>
    <w:rsid w:val="00D915FF"/>
    <w:rsid w:val="00D94C8E"/>
    <w:rsid w:val="00D969BA"/>
    <w:rsid w:val="00D979E4"/>
    <w:rsid w:val="00DB2823"/>
    <w:rsid w:val="00DB7C46"/>
    <w:rsid w:val="00DC2A89"/>
    <w:rsid w:val="00DC545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92AB7"/>
    <w:rsid w:val="00E96393"/>
    <w:rsid w:val="00EA4F96"/>
    <w:rsid w:val="00EB00C9"/>
    <w:rsid w:val="00EB4FB5"/>
    <w:rsid w:val="00ED3E0F"/>
    <w:rsid w:val="00ED7D90"/>
    <w:rsid w:val="00EF57F9"/>
    <w:rsid w:val="00F04222"/>
    <w:rsid w:val="00F071EE"/>
    <w:rsid w:val="00F1706A"/>
    <w:rsid w:val="00F1743E"/>
    <w:rsid w:val="00F20EBE"/>
    <w:rsid w:val="00F2592C"/>
    <w:rsid w:val="00F34158"/>
    <w:rsid w:val="00F356A1"/>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D5C3E"/>
    <w:rsid w:val="00FD5D72"/>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 w:type="character" w:customStyle="1" w:styleId="NoSpacingChar">
    <w:name w:val="No Spacing Char"/>
    <w:link w:val="NoSpacing"/>
    <w:uiPriority w:val="1"/>
    <w:rsid w:val="005F5BE4"/>
    <w:rPr>
      <w:sz w:val="24"/>
      <w:szCs w:val="24"/>
    </w:rPr>
  </w:style>
  <w:style w:type="paragraph" w:customStyle="1" w:styleId="Default">
    <w:name w:val="Default"/>
    <w:rsid w:val="00EB4FB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A0A50-9672-40B9-B2A3-7CF0608C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113</cp:revision>
  <cp:lastPrinted>2016-10-06T07:15:00Z</cp:lastPrinted>
  <dcterms:created xsi:type="dcterms:W3CDTF">2017-03-04T22:51:00Z</dcterms:created>
  <dcterms:modified xsi:type="dcterms:W3CDTF">2019-03-11T13:27:00Z</dcterms:modified>
</cp:coreProperties>
</file>