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AC580C" w:rsidRDefault="005504D5" w:rsidP="005504D5">
            <w:pPr>
              <w:contextualSpacing/>
              <w:rPr>
                <w:rFonts w:asciiTheme="minorHAnsi" w:hAnsiTheme="minorHAnsi" w:cstheme="minorHAnsi"/>
                <w:b/>
                <w:sz w:val="22"/>
                <w:szCs w:val="22"/>
                <w:lang w:val="en-GB"/>
              </w:rPr>
            </w:pPr>
            <w:r w:rsidRPr="005504D5">
              <w:rPr>
                <w:rFonts w:asciiTheme="minorHAnsi" w:hAnsiTheme="minorHAnsi" w:cstheme="minorHAnsi"/>
                <w:b/>
                <w:sz w:val="22"/>
                <w:szCs w:val="22"/>
                <w:lang w:val="en-GB" w:eastAsia="en-GB"/>
              </w:rPr>
              <w:t>Environmental Management and Environmental Conservation</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r w:rsidR="005504D5">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4630C6" w:rsidP="005F5BE4">
            <w:pPr>
              <w:pStyle w:val="NoSpacing"/>
              <w:rPr>
                <w:rFonts w:ascii="Calibri" w:hAnsi="Calibri"/>
                <w:b/>
                <w:szCs w:val="28"/>
                <w:lang w:val="sq-AL"/>
              </w:rPr>
            </w:pPr>
            <w:proofErr w:type="spellStart"/>
            <w:r>
              <w:rPr>
                <w:rFonts w:ascii="Calibri" w:hAnsi="Calibri"/>
                <w:b/>
                <w:szCs w:val="28"/>
                <w:lang w:val="sq-AL"/>
              </w:rPr>
              <w:t>Prof.Asoc.Dr</w:t>
            </w:r>
            <w:proofErr w:type="spellEnd"/>
            <w:r>
              <w:rPr>
                <w:rFonts w:ascii="Calibri" w:hAnsi="Calibri"/>
                <w:b/>
                <w:szCs w:val="28"/>
                <w:lang w:val="sq-AL"/>
              </w:rPr>
              <w:t xml:space="preserve">. </w:t>
            </w:r>
            <w:proofErr w:type="spellStart"/>
            <w:r>
              <w:rPr>
                <w:rFonts w:ascii="Calibri" w:hAnsi="Calibri"/>
                <w:b/>
                <w:szCs w:val="28"/>
                <w:lang w:val="sq-AL"/>
              </w:rPr>
              <w:t>Melihate</w:t>
            </w:r>
            <w:proofErr w:type="spellEnd"/>
            <w:r>
              <w:rPr>
                <w:rFonts w:ascii="Calibri" w:hAnsi="Calibri"/>
                <w:b/>
                <w:szCs w:val="28"/>
                <w:lang w:val="sq-AL"/>
              </w:rPr>
              <w:t xml:space="preserve"> Aliu</w:t>
            </w: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5504D5" w:rsidP="00AC580C">
            <w:pPr>
              <w:autoSpaceDE w:val="0"/>
              <w:autoSpaceDN w:val="0"/>
              <w:adjustRightInd w:val="0"/>
              <w:jc w:val="both"/>
              <w:rPr>
                <w:rFonts w:ascii="Calibri" w:hAnsi="Calibri" w:cs="Calibri"/>
                <w:i/>
                <w:sz w:val="22"/>
                <w:szCs w:val="22"/>
                <w:lang w:val="en-GB"/>
              </w:rPr>
            </w:pPr>
            <w:r w:rsidRPr="005504D5">
              <w:rPr>
                <w:rFonts w:ascii="Calibri" w:hAnsi="Calibri" w:cs="Calibri"/>
                <w:i/>
                <w:sz w:val="22"/>
                <w:szCs w:val="22"/>
                <w:lang w:val="en-GB"/>
              </w:rPr>
              <w:t>The Environmental Management Program addresses a wide range of environmental compatibility issues by managing the environmental management system. This is done by developing, managing and coordinating quality environmental services, minimizing environmental risks and costs, and promoting environmental compliance and performance, Market Environmental Policy Principles, Market Based Solutions for Common Property Problems, Policy Instruments for Global Climate Change: Markets for Global Climate Change, Markets for Ecosystem Services, Impact of Regulators in Reduction of Cost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5504D5" w:rsidP="00AC580C">
            <w:pPr>
              <w:jc w:val="both"/>
              <w:rPr>
                <w:rFonts w:ascii="Calibri" w:hAnsi="Calibri" w:cs="Calibri"/>
                <w:b/>
                <w:i/>
                <w:sz w:val="22"/>
                <w:szCs w:val="22"/>
                <w:lang w:val="en-GB"/>
              </w:rPr>
            </w:pPr>
            <w:r w:rsidRPr="005504D5">
              <w:rPr>
                <w:rFonts w:asciiTheme="minorHAnsi" w:hAnsiTheme="minorHAnsi" w:cstheme="minorHAnsi"/>
                <w:i/>
                <w:sz w:val="22"/>
                <w:szCs w:val="22"/>
                <w:shd w:val="clear" w:color="auto" w:fill="FFFFFF"/>
              </w:rPr>
              <w:t>The purpose of the course is to provide corporate environmental policies that include a change in how a product is produced in response to environmental concerns; the introduction of a new "green" product as well as environmental management from the perspective of government regulators, private corporations, and non-profit organizations</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5504D5" w:rsidRPr="005504D5" w:rsidRDefault="005504D5" w:rsidP="005504D5">
            <w:pPr>
              <w:pStyle w:val="ListParagraph"/>
              <w:numPr>
                <w:ilvl w:val="0"/>
                <w:numId w:val="16"/>
              </w:numPr>
              <w:jc w:val="both"/>
              <w:rPr>
                <w:rFonts w:asciiTheme="minorHAnsi" w:hAnsiTheme="minorHAnsi"/>
                <w:i/>
                <w:sz w:val="22"/>
                <w:szCs w:val="22"/>
              </w:rPr>
            </w:pPr>
            <w:r w:rsidRPr="005504D5">
              <w:rPr>
                <w:rFonts w:asciiTheme="minorHAnsi" w:hAnsiTheme="minorHAnsi"/>
                <w:i/>
                <w:sz w:val="22"/>
                <w:szCs w:val="22"/>
              </w:rPr>
              <w:t>analyze proactive corporate environmental strategies through a variety of case studies</w:t>
            </w:r>
          </w:p>
          <w:p w:rsidR="005504D5" w:rsidRPr="005504D5" w:rsidRDefault="00CA55ED" w:rsidP="005504D5">
            <w:pPr>
              <w:pStyle w:val="ListParagraph"/>
              <w:numPr>
                <w:ilvl w:val="0"/>
                <w:numId w:val="16"/>
              </w:numPr>
              <w:jc w:val="both"/>
              <w:rPr>
                <w:rFonts w:asciiTheme="minorHAnsi" w:hAnsiTheme="minorHAnsi"/>
                <w:i/>
                <w:sz w:val="22"/>
                <w:szCs w:val="22"/>
              </w:rPr>
            </w:pPr>
            <w:r w:rsidRPr="005504D5">
              <w:rPr>
                <w:rFonts w:asciiTheme="minorHAnsi" w:hAnsiTheme="minorHAnsi"/>
                <w:i/>
                <w:sz w:val="22"/>
                <w:szCs w:val="22"/>
              </w:rPr>
              <w:t>Understand</w:t>
            </w:r>
            <w:r w:rsidR="005504D5" w:rsidRPr="005504D5">
              <w:rPr>
                <w:rFonts w:asciiTheme="minorHAnsi" w:hAnsiTheme="minorHAnsi"/>
                <w:i/>
                <w:sz w:val="22"/>
                <w:szCs w:val="22"/>
              </w:rPr>
              <w:t xml:space="preserve"> innovative market-based approaches to environmental policy, such as pollution permits.</w:t>
            </w:r>
          </w:p>
          <w:p w:rsidR="005504D5" w:rsidRPr="005504D5" w:rsidRDefault="005504D5" w:rsidP="005504D5">
            <w:pPr>
              <w:pStyle w:val="ListParagraph"/>
              <w:numPr>
                <w:ilvl w:val="0"/>
                <w:numId w:val="16"/>
              </w:numPr>
              <w:jc w:val="both"/>
              <w:rPr>
                <w:rFonts w:asciiTheme="minorHAnsi" w:hAnsiTheme="minorHAnsi"/>
                <w:i/>
                <w:sz w:val="22"/>
                <w:szCs w:val="22"/>
              </w:rPr>
            </w:pPr>
            <w:r w:rsidRPr="005504D5">
              <w:rPr>
                <w:rFonts w:asciiTheme="minorHAnsi" w:hAnsiTheme="minorHAnsi"/>
                <w:i/>
                <w:sz w:val="22"/>
                <w:szCs w:val="22"/>
              </w:rPr>
              <w:t xml:space="preserve">evaluate the possibility of cost savings in companies by reducing their environmental impacts </w:t>
            </w:r>
          </w:p>
          <w:p w:rsidR="00047751" w:rsidRPr="005504D5" w:rsidRDefault="005504D5" w:rsidP="005504D5">
            <w:pPr>
              <w:pStyle w:val="ListParagraph"/>
              <w:numPr>
                <w:ilvl w:val="0"/>
                <w:numId w:val="16"/>
              </w:numPr>
              <w:jc w:val="both"/>
              <w:rPr>
                <w:rFonts w:ascii="Calibri" w:hAnsi="Calibri" w:cs="Calibri"/>
                <w:i/>
                <w:sz w:val="22"/>
                <w:szCs w:val="22"/>
                <w:lang w:val="en-GB"/>
              </w:rPr>
            </w:pPr>
            <w:r w:rsidRPr="005504D5">
              <w:rPr>
                <w:rFonts w:asciiTheme="minorHAnsi" w:hAnsiTheme="minorHAnsi"/>
                <w:i/>
                <w:sz w:val="22"/>
                <w:szCs w:val="22"/>
              </w:rPr>
              <w:t>able to become part of the teams for managing and protecting the environment where we live and work</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BD42CE" w:rsidP="0019615F">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19615F" w:rsidRPr="00E61CB8" w:rsidRDefault="00BD42CE" w:rsidP="0019615F">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19615F" w:rsidRPr="00E61CB8" w:rsidRDefault="00BD42CE" w:rsidP="0019615F">
            <w:pPr>
              <w:jc w:val="right"/>
              <w:rPr>
                <w:rFonts w:ascii="Calibri" w:hAnsi="Calibri"/>
                <w:color w:val="000000"/>
                <w:sz w:val="22"/>
                <w:szCs w:val="22"/>
                <w:lang w:val="sq-AL"/>
              </w:rPr>
            </w:pPr>
            <w:r>
              <w:rPr>
                <w:rFonts w:ascii="Calibri" w:hAnsi="Calibri"/>
                <w:color w:val="000000"/>
                <w:sz w:val="22"/>
                <w:szCs w:val="22"/>
                <w:lang w:val="sq-AL"/>
              </w:rPr>
              <w:t>8</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AB5E47" w:rsidP="0019615F">
            <w:pPr>
              <w:jc w:val="right"/>
              <w:rPr>
                <w:rFonts w:ascii="Calibri" w:hAnsi="Calibri"/>
                <w:color w:val="000000"/>
                <w:sz w:val="22"/>
                <w:szCs w:val="22"/>
                <w:lang w:val="sq-AL"/>
              </w:rPr>
            </w:pPr>
            <w:r>
              <w:rPr>
                <w:rFonts w:ascii="Calibri" w:hAnsi="Calibri"/>
                <w:color w:val="000000"/>
                <w:sz w:val="22"/>
                <w:szCs w:val="22"/>
                <w:lang w:val="sq-AL"/>
              </w:rPr>
              <w:t>15</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AB5E47">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4630C6">
            <w:pPr>
              <w:jc w:val="right"/>
              <w:rPr>
                <w:rFonts w:ascii="Calibri" w:hAnsi="Calibri"/>
                <w:color w:val="000000"/>
                <w:sz w:val="22"/>
                <w:szCs w:val="22"/>
                <w:lang w:val="sq-AL"/>
              </w:rPr>
            </w:pPr>
            <w:r w:rsidRPr="00E61CB8">
              <w:rPr>
                <w:rFonts w:ascii="Calibri" w:hAnsi="Calibri"/>
                <w:color w:val="000000"/>
                <w:sz w:val="22"/>
                <w:szCs w:val="22"/>
                <w:lang w:val="sq-AL"/>
              </w:rPr>
              <w:t> </w:t>
            </w:r>
            <w:r w:rsidR="004630C6">
              <w:rPr>
                <w:rFonts w:ascii="Calibri" w:hAnsi="Calibri"/>
                <w:color w:val="000000"/>
                <w:sz w:val="22"/>
                <w:szCs w:val="22"/>
                <w:lang w:val="sq-AL"/>
              </w:rPr>
              <w:t>15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4630C6"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4630C6" w:rsidP="0019615F">
            <w:pPr>
              <w:jc w:val="right"/>
              <w:rPr>
                <w:rFonts w:ascii="Calibri" w:hAnsi="Calibri"/>
                <w:color w:val="000000"/>
                <w:sz w:val="22"/>
                <w:szCs w:val="22"/>
                <w:lang w:val="sq-AL"/>
              </w:rPr>
            </w:pPr>
            <w:r>
              <w:rPr>
                <w:rFonts w:ascii="Calibri" w:hAnsi="Calibri"/>
                <w:color w:val="000000"/>
                <w:sz w:val="22"/>
                <w:szCs w:val="22"/>
                <w:lang w:val="sq-AL"/>
              </w:rPr>
              <w:t>45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AB5E47" w:rsidP="0019615F">
            <w:pPr>
              <w:jc w:val="right"/>
              <w:rPr>
                <w:rFonts w:ascii="Calibri" w:hAnsi="Calibri"/>
                <w:color w:val="000000"/>
                <w:sz w:val="22"/>
                <w:szCs w:val="22"/>
                <w:lang w:val="sq-AL"/>
              </w:rPr>
            </w:pPr>
            <w:r>
              <w:rPr>
                <w:rFonts w:ascii="Calibri" w:hAnsi="Calibri"/>
                <w:color w:val="000000"/>
                <w:sz w:val="22"/>
                <w:szCs w:val="22"/>
                <w:lang w:val="sq-AL"/>
              </w:rPr>
              <w:t>20</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19615F" w:rsidRPr="00E61CB8" w:rsidRDefault="004630C6" w:rsidP="0019615F">
            <w:pPr>
              <w:jc w:val="right"/>
              <w:rPr>
                <w:rFonts w:ascii="Calibri" w:hAnsi="Calibri"/>
                <w:color w:val="000000"/>
                <w:sz w:val="22"/>
                <w:szCs w:val="22"/>
                <w:lang w:val="sq-AL"/>
              </w:rPr>
            </w:pP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AB5E47"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BD42CE"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AB5E47"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5F5BE4" w:rsidP="00B27201">
            <w:pPr>
              <w:rPr>
                <w:rFonts w:ascii="Calibri" w:hAnsi="Calibri" w:cs="Calibri"/>
                <w:i/>
                <w:sz w:val="22"/>
                <w:szCs w:val="22"/>
                <w:lang w:val="en-GB"/>
              </w:rPr>
            </w:pPr>
            <w:r w:rsidRPr="005F5BE4">
              <w:rPr>
                <w:rFonts w:ascii="Calibri" w:hAnsi="Calibri" w:cs="Calibri"/>
                <w:i/>
                <w:sz w:val="22"/>
                <w:szCs w:val="22"/>
                <w:lang w:val="en-GB"/>
              </w:rPr>
              <w:t>Lectures combined with laboratory exercises using AEF applications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5504D5" w:rsidRPr="00685D0E" w:rsidRDefault="005504D5" w:rsidP="005504D5">
            <w:pPr>
              <w:tabs>
                <w:tab w:val="left" w:pos="732"/>
              </w:tabs>
              <w:rPr>
                <w:color w:val="000000" w:themeColor="text1"/>
                <w:sz w:val="22"/>
                <w:szCs w:val="22"/>
                <w:lang w:val="en-GB"/>
              </w:rPr>
            </w:pPr>
            <w:r w:rsidRPr="00685D0E">
              <w:rPr>
                <w:color w:val="000000" w:themeColor="text1"/>
                <w:sz w:val="22"/>
                <w:szCs w:val="22"/>
                <w:lang w:val="en-GB"/>
              </w:rPr>
              <w:fldChar w:fldCharType="begin"/>
            </w:r>
            <w:r w:rsidRPr="00685D0E">
              <w:rPr>
                <w:color w:val="000000" w:themeColor="text1"/>
                <w:sz w:val="22"/>
                <w:szCs w:val="22"/>
                <w:lang w:val="en-GB"/>
              </w:rPr>
              <w:instrText xml:space="preserve"> MERGEFIELD Lloji_1 </w:instrText>
            </w:r>
            <w:r w:rsidRPr="00685D0E">
              <w:rPr>
                <w:color w:val="000000" w:themeColor="text1"/>
                <w:sz w:val="22"/>
                <w:szCs w:val="22"/>
                <w:lang w:val="en-GB"/>
              </w:rPr>
              <w:fldChar w:fldCharType="separate"/>
            </w:r>
            <w:r w:rsidRPr="00685D0E">
              <w:rPr>
                <w:color w:val="000000" w:themeColor="text1"/>
                <w:sz w:val="22"/>
                <w:szCs w:val="22"/>
                <w:lang w:val="en-GB"/>
              </w:rPr>
              <w:t>Assignment</w:t>
            </w:r>
            <w:r w:rsidRPr="00685D0E">
              <w:rPr>
                <w:color w:val="000000" w:themeColor="text1"/>
                <w:sz w:val="22"/>
                <w:szCs w:val="22"/>
                <w:lang w:val="en-GB"/>
              </w:rPr>
              <w:fldChar w:fldCharType="end"/>
            </w:r>
            <w:r>
              <w:rPr>
                <w:color w:val="000000" w:themeColor="text1"/>
                <w:sz w:val="22"/>
                <w:szCs w:val="22"/>
                <w:lang w:val="en-GB"/>
              </w:rPr>
              <w:t xml:space="preserve"> </w:t>
            </w:r>
            <w:r w:rsidRPr="00685D0E">
              <w:rPr>
                <w:color w:val="000000" w:themeColor="text1"/>
                <w:sz w:val="22"/>
                <w:szCs w:val="22"/>
                <w:lang w:val="en-GB"/>
              </w:rPr>
              <w:t>40%</w:t>
            </w:r>
          </w:p>
          <w:p w:rsidR="00B27201" w:rsidRPr="00F1706A" w:rsidRDefault="005504D5" w:rsidP="005504D5">
            <w:pPr>
              <w:rPr>
                <w:rFonts w:ascii="Calibri" w:hAnsi="Calibri" w:cs="Calibri"/>
                <w:lang w:val="en-GB"/>
              </w:rPr>
            </w:pPr>
            <w:r w:rsidRPr="00685D0E">
              <w:rPr>
                <w:color w:val="000000" w:themeColor="text1"/>
                <w:sz w:val="22"/>
                <w:szCs w:val="22"/>
                <w:lang w:val="en-GB"/>
              </w:rPr>
              <w:t>Final Exam 60%</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504D5" w:rsidRDefault="005504D5" w:rsidP="005504D5">
            <w:pPr>
              <w:pStyle w:val="NoSpacing"/>
              <w:numPr>
                <w:ilvl w:val="0"/>
                <w:numId w:val="20"/>
              </w:numPr>
              <w:rPr>
                <w:color w:val="000000" w:themeColor="text1"/>
                <w:sz w:val="22"/>
                <w:szCs w:val="22"/>
                <w:lang w:val="en-GB"/>
              </w:rPr>
            </w:pPr>
            <w:r w:rsidRPr="00685D0E">
              <w:rPr>
                <w:color w:val="000000" w:themeColor="text1"/>
                <w:sz w:val="22"/>
                <w:szCs w:val="22"/>
                <w:lang w:val="en-GB"/>
              </w:rPr>
              <w:t xml:space="preserve">Nathaniel </w:t>
            </w:r>
            <w:proofErr w:type="spellStart"/>
            <w:r w:rsidRPr="00685D0E">
              <w:rPr>
                <w:color w:val="000000" w:themeColor="text1"/>
                <w:sz w:val="22"/>
                <w:szCs w:val="22"/>
                <w:lang w:val="en-GB"/>
              </w:rPr>
              <w:t>Keohane</w:t>
            </w:r>
            <w:proofErr w:type="spellEnd"/>
            <w:r w:rsidRPr="00685D0E">
              <w:rPr>
                <w:color w:val="000000" w:themeColor="text1"/>
                <w:sz w:val="22"/>
                <w:szCs w:val="22"/>
                <w:lang w:val="en-GB"/>
              </w:rPr>
              <w:t xml:space="preserve"> and Sheila Olmstead, Markets and the Environment: An Introduction to Environmental and Resource Economics (Washington, D.C.: Island Press, 2007).</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5504D5" w:rsidP="005504D5">
            <w:pPr>
              <w:pStyle w:val="NoSpacing"/>
              <w:numPr>
                <w:ilvl w:val="0"/>
                <w:numId w:val="21"/>
              </w:numPr>
              <w:rPr>
                <w:rFonts w:ascii="Calibri" w:hAnsi="Calibri" w:cs="Arial"/>
                <w:sz w:val="22"/>
                <w:szCs w:val="22"/>
              </w:rPr>
            </w:pPr>
            <w:r w:rsidRPr="00685D0E">
              <w:rPr>
                <w:color w:val="000000" w:themeColor="text1"/>
                <w:sz w:val="22"/>
                <w:szCs w:val="22"/>
                <w:lang w:val="en-GB"/>
              </w:rPr>
              <w:t>Forest Reinhardt, Down To Earth: Applying Business Principles to Environmental Management (Cambridge, MA: Harvard Business School Press, 2000).</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one:</w:t>
            </w:r>
          </w:p>
        </w:tc>
        <w:tc>
          <w:tcPr>
            <w:tcW w:w="5984" w:type="dxa"/>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Presentation - Notification of students with the course syllabus,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two:</w:t>
            </w:r>
          </w:p>
        </w:tc>
        <w:tc>
          <w:tcPr>
            <w:tcW w:w="5984" w:type="dxa"/>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The role and meaning of environmental management and preservation,</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three:</w:t>
            </w:r>
          </w:p>
        </w:tc>
        <w:tc>
          <w:tcPr>
            <w:tcW w:w="5984" w:type="dxa"/>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Why should the cost-benefit analysis,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Willingness to pay for environmental quality, seminar paper,</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Markets for environmental protection,</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  Introduction to regulatory design, presentation by students,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Market-based Solutions for Common Property Problems Case Study,</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Sensitivity and Risk Analysis Policy instruments for Global Climate Change, Presentation by Students,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Markets for Global Climate Change Case Study</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Principles of Environmental Market Policies, Presentation by Students,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Markets for ecosystem services,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Appreciation with Agenda 21. on the Environment and its extensions in different countries, presentations by students,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lastRenderedPageBreak/>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A description of environmental company policies,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The impact of regulators on cost reduction, presentation by students,</w:t>
            </w:r>
          </w:p>
        </w:tc>
      </w:tr>
      <w:tr w:rsidR="00CA55ED" w:rsidRPr="00F1706A" w:rsidTr="00E57AED">
        <w:tc>
          <w:tcPr>
            <w:tcW w:w="2516" w:type="dxa"/>
          </w:tcPr>
          <w:p w:rsidR="00CA55ED" w:rsidRPr="00F1706A" w:rsidRDefault="00CA55ED" w:rsidP="00CA55ED">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CA55ED" w:rsidRPr="00CA55ED" w:rsidRDefault="00CA55ED" w:rsidP="00CA55ED">
            <w:pPr>
              <w:tabs>
                <w:tab w:val="left" w:pos="732"/>
              </w:tabs>
              <w:rPr>
                <w:rFonts w:ascii="Calibri" w:hAnsi="Calibri" w:cs="Calibri"/>
                <w:i/>
                <w:color w:val="000000"/>
                <w:sz w:val="22"/>
                <w:szCs w:val="22"/>
                <w:lang w:val="en-GB"/>
              </w:rPr>
            </w:pPr>
            <w:r w:rsidRPr="00CA55ED">
              <w:rPr>
                <w:rFonts w:ascii="Calibri" w:hAnsi="Calibri" w:cs="Calibri"/>
                <w:i/>
                <w:color w:val="000000"/>
                <w:sz w:val="22"/>
                <w:szCs w:val="22"/>
                <w:lang w:val="en-GB"/>
              </w:rPr>
              <w:t>Presentation of works by students</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46" w:rsidRDefault="00905C46">
      <w:r>
        <w:separator/>
      </w:r>
    </w:p>
  </w:endnote>
  <w:endnote w:type="continuationSeparator" w:id="0">
    <w:p w:rsidR="00905C46" w:rsidRDefault="009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AB5E47">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46" w:rsidRDefault="00905C46">
      <w:r>
        <w:separator/>
      </w:r>
    </w:p>
  </w:footnote>
  <w:footnote w:type="continuationSeparator" w:id="0">
    <w:p w:rsidR="00905C46" w:rsidRDefault="0090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3B56C78"/>
    <w:multiLevelType w:val="hybridMultilevel"/>
    <w:tmpl w:val="9230B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4" w15:restartNumberingAfterBreak="0">
    <w:nsid w:val="1C4C4BE6"/>
    <w:multiLevelType w:val="hybridMultilevel"/>
    <w:tmpl w:val="9230B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7"/>
  </w:num>
  <w:num w:numId="5">
    <w:abstractNumId w:val="15"/>
  </w:num>
  <w:num w:numId="6">
    <w:abstractNumId w:val="2"/>
  </w:num>
  <w:num w:numId="7">
    <w:abstractNumId w:val="6"/>
  </w:num>
  <w:num w:numId="8">
    <w:abstractNumId w:val="0"/>
  </w:num>
  <w:num w:numId="9">
    <w:abstractNumId w:val="13"/>
  </w:num>
  <w:num w:numId="10">
    <w:abstractNumId w:val="18"/>
  </w:num>
  <w:num w:numId="11">
    <w:abstractNumId w:val="11"/>
  </w:num>
  <w:num w:numId="12">
    <w:abstractNumId w:val="12"/>
  </w:num>
  <w:num w:numId="13">
    <w:abstractNumId w:val="16"/>
  </w:num>
  <w:num w:numId="14">
    <w:abstractNumId w:val="10"/>
  </w:num>
  <w:num w:numId="15">
    <w:abstractNumId w:val="5"/>
  </w:num>
  <w:num w:numId="16">
    <w:abstractNumId w:val="7"/>
  </w:num>
  <w:num w:numId="17">
    <w:abstractNumId w:val="9"/>
  </w:num>
  <w:num w:numId="18">
    <w:abstractNumId w:val="14"/>
  </w:num>
  <w:num w:numId="19">
    <w:abstractNumId w:val="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0582"/>
    <w:rsid w:val="004464ED"/>
    <w:rsid w:val="00447241"/>
    <w:rsid w:val="00447D13"/>
    <w:rsid w:val="00452C91"/>
    <w:rsid w:val="00455443"/>
    <w:rsid w:val="004630C6"/>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24E3C"/>
    <w:rsid w:val="0053173C"/>
    <w:rsid w:val="00532983"/>
    <w:rsid w:val="0053434C"/>
    <w:rsid w:val="005355AB"/>
    <w:rsid w:val="005404EB"/>
    <w:rsid w:val="00541B70"/>
    <w:rsid w:val="00544CA1"/>
    <w:rsid w:val="005450DB"/>
    <w:rsid w:val="00545236"/>
    <w:rsid w:val="005472F8"/>
    <w:rsid w:val="005504D5"/>
    <w:rsid w:val="005510E8"/>
    <w:rsid w:val="0055198C"/>
    <w:rsid w:val="00552E24"/>
    <w:rsid w:val="005660F5"/>
    <w:rsid w:val="00592C48"/>
    <w:rsid w:val="00595545"/>
    <w:rsid w:val="00596D31"/>
    <w:rsid w:val="005A0638"/>
    <w:rsid w:val="005A1C1C"/>
    <w:rsid w:val="005A541E"/>
    <w:rsid w:val="005D2ECF"/>
    <w:rsid w:val="005D34E1"/>
    <w:rsid w:val="005E4C8D"/>
    <w:rsid w:val="005F3F47"/>
    <w:rsid w:val="005F5BE4"/>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0175"/>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433B9"/>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E6868"/>
    <w:rsid w:val="008F6B22"/>
    <w:rsid w:val="00903474"/>
    <w:rsid w:val="00905C46"/>
    <w:rsid w:val="00932200"/>
    <w:rsid w:val="0097333B"/>
    <w:rsid w:val="00973B75"/>
    <w:rsid w:val="00980917"/>
    <w:rsid w:val="00987E36"/>
    <w:rsid w:val="009902E4"/>
    <w:rsid w:val="009B2560"/>
    <w:rsid w:val="009B3F0A"/>
    <w:rsid w:val="009C2EE8"/>
    <w:rsid w:val="009E0C25"/>
    <w:rsid w:val="009E2AF8"/>
    <w:rsid w:val="00A11746"/>
    <w:rsid w:val="00A513D4"/>
    <w:rsid w:val="00A545BA"/>
    <w:rsid w:val="00A662A0"/>
    <w:rsid w:val="00A679A5"/>
    <w:rsid w:val="00A67A3C"/>
    <w:rsid w:val="00A71997"/>
    <w:rsid w:val="00A820C7"/>
    <w:rsid w:val="00A850EB"/>
    <w:rsid w:val="00AA2C57"/>
    <w:rsid w:val="00AA3C2B"/>
    <w:rsid w:val="00AA6891"/>
    <w:rsid w:val="00AB1381"/>
    <w:rsid w:val="00AB580D"/>
    <w:rsid w:val="00AB5E47"/>
    <w:rsid w:val="00AB7218"/>
    <w:rsid w:val="00AC08ED"/>
    <w:rsid w:val="00AC580C"/>
    <w:rsid w:val="00AF163E"/>
    <w:rsid w:val="00AF1A58"/>
    <w:rsid w:val="00B27201"/>
    <w:rsid w:val="00B35215"/>
    <w:rsid w:val="00B358E8"/>
    <w:rsid w:val="00B43C50"/>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42CE"/>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A55E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D72"/>
    <w:rsid w:val="00FE43C2"/>
    <w:rsid w:val="00FF30DC"/>
    <w:rsid w:val="00FF6CB4"/>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DE0A-5DF4-488D-AFAB-0D385B72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111</cp:revision>
  <cp:lastPrinted>2016-10-06T07:15:00Z</cp:lastPrinted>
  <dcterms:created xsi:type="dcterms:W3CDTF">2017-03-04T22:51:00Z</dcterms:created>
  <dcterms:modified xsi:type="dcterms:W3CDTF">2019-03-11T13:14:00Z</dcterms:modified>
</cp:coreProperties>
</file>