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B90CFC" w:rsidRDefault="004F7161" w:rsidP="00017376">
            <w:pPr>
              <w:pStyle w:val="NoSpacing"/>
              <w:rPr>
                <w:rFonts w:ascii="Calibri" w:hAnsi="Calibri"/>
                <w:b/>
                <w:szCs w:val="28"/>
                <w:lang w:val="sq-AL"/>
              </w:rPr>
            </w:pPr>
            <w:r w:rsidRPr="00B90CFC">
              <w:rPr>
                <w:rFonts w:ascii="Calibri" w:hAnsi="Calibri"/>
                <w:b/>
                <w:szCs w:val="28"/>
                <w:lang w:val="sq-AL"/>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B90CFC" w:rsidRDefault="004F7161" w:rsidP="00047751">
            <w:pPr>
              <w:contextualSpacing/>
              <w:rPr>
                <w:rFonts w:ascii="Calibri" w:hAnsi="Calibri"/>
                <w:b/>
                <w:szCs w:val="28"/>
                <w:lang w:val="sq-AL"/>
              </w:rPr>
            </w:pPr>
            <w:r w:rsidRPr="00B90CFC">
              <w:rPr>
                <w:rFonts w:ascii="Calibri" w:hAnsi="Calibri"/>
                <w:b/>
                <w:szCs w:val="28"/>
                <w:lang w:val="sq-AL"/>
              </w:rPr>
              <w:t>Automation and</w:t>
            </w:r>
            <w:r w:rsidR="007C3B71" w:rsidRPr="00B90CFC">
              <w:rPr>
                <w:rFonts w:ascii="Calibri" w:hAnsi="Calibri"/>
                <w:b/>
                <w:szCs w:val="28"/>
                <w:lang w:val="sq-AL"/>
              </w:rPr>
              <w:t xml:space="preserve"> Computer Integrated Manufacturing (</w:t>
            </w:r>
            <w:r w:rsidRPr="00B90CFC">
              <w:rPr>
                <w:rFonts w:ascii="Calibri" w:hAnsi="Calibri"/>
                <w:b/>
                <w:szCs w:val="28"/>
                <w:lang w:val="sq-AL"/>
              </w:rPr>
              <w:t>CIM</w:t>
            </w:r>
            <w:r w:rsidR="007C3B71" w:rsidRPr="00B90CFC">
              <w:rPr>
                <w:rFonts w:ascii="Calibri" w:hAnsi="Calibri"/>
                <w:b/>
                <w:szCs w:val="28"/>
                <w:lang w:val="sq-AL"/>
              </w:rPr>
              <w:t>)</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2</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1306B2" w:rsidRPr="00F1706A" w:rsidTr="00E57AED">
        <w:tc>
          <w:tcPr>
            <w:tcW w:w="2977" w:type="dxa"/>
          </w:tcPr>
          <w:p w:rsidR="001306B2" w:rsidRPr="00F1706A" w:rsidRDefault="001306B2" w:rsidP="001306B2">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1306B2" w:rsidRPr="00F979EE" w:rsidRDefault="001306B2" w:rsidP="001306B2">
            <w:pPr>
              <w:pStyle w:val="NoSpacing"/>
              <w:rPr>
                <w:rFonts w:ascii="Calibri" w:hAnsi="Calibri"/>
                <w:b/>
                <w:szCs w:val="28"/>
                <w:lang w:val="sq-AL"/>
              </w:rPr>
            </w:pPr>
            <w:r>
              <w:rPr>
                <w:rFonts w:ascii="Calibri" w:hAnsi="Calibri"/>
                <w:b/>
                <w:szCs w:val="28"/>
                <w:lang w:val="sq-AL"/>
              </w:rPr>
              <w:t>Prof. Ass. Dr. Bashkim Çerkini</w:t>
            </w:r>
          </w:p>
        </w:tc>
      </w:tr>
      <w:tr w:rsidR="001306B2" w:rsidRPr="00F1706A" w:rsidTr="00E57AED">
        <w:tc>
          <w:tcPr>
            <w:tcW w:w="2977" w:type="dxa"/>
          </w:tcPr>
          <w:p w:rsidR="001306B2" w:rsidRPr="00F1706A" w:rsidRDefault="001306B2" w:rsidP="001306B2">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1306B2" w:rsidRPr="00F979EE" w:rsidRDefault="001306B2" w:rsidP="001306B2">
            <w:pPr>
              <w:pStyle w:val="NoSpacing"/>
              <w:rPr>
                <w:rFonts w:ascii="Calibri" w:hAnsi="Calibri"/>
                <w:b/>
                <w:szCs w:val="28"/>
                <w:lang w:val="sq-AL"/>
              </w:rPr>
            </w:pPr>
            <w:r>
              <w:rPr>
                <w:rFonts w:ascii="Calibri" w:hAnsi="Calibri"/>
                <w:b/>
                <w:szCs w:val="28"/>
                <w:lang w:val="sq-AL"/>
              </w:rPr>
              <w:t>bashkim.cerkini@ushaf.net</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7D37B0" w:rsidP="00BC6DB6">
            <w:pPr>
              <w:autoSpaceDE w:val="0"/>
              <w:autoSpaceDN w:val="0"/>
              <w:adjustRightInd w:val="0"/>
              <w:jc w:val="both"/>
              <w:rPr>
                <w:rFonts w:ascii="Calibri" w:hAnsi="Calibri" w:cs="Calibri"/>
                <w:i/>
                <w:sz w:val="22"/>
                <w:szCs w:val="22"/>
                <w:lang w:val="en-GB"/>
              </w:rPr>
            </w:pPr>
            <w:r w:rsidRPr="004D6136">
              <w:rPr>
                <w:rFonts w:ascii="Calibri" w:hAnsi="Calibri" w:cs="Calibri"/>
                <w:i/>
                <w:sz w:val="22"/>
                <w:szCs w:val="22"/>
                <w:lang w:val="en-GB"/>
              </w:rPr>
              <w:t xml:space="preserve">This </w:t>
            </w:r>
            <w:r w:rsidR="00BC6DB6">
              <w:rPr>
                <w:rFonts w:ascii="Calibri" w:hAnsi="Calibri" w:cs="Calibri"/>
                <w:i/>
                <w:sz w:val="22"/>
                <w:szCs w:val="22"/>
                <w:lang w:val="en-GB"/>
              </w:rPr>
              <w:t>subject</w:t>
            </w:r>
            <w:r w:rsidRPr="004D6136">
              <w:rPr>
                <w:rFonts w:ascii="Calibri" w:hAnsi="Calibri" w:cs="Calibri"/>
                <w:i/>
                <w:sz w:val="22"/>
                <w:szCs w:val="22"/>
                <w:lang w:val="en-GB"/>
              </w:rPr>
              <w:t xml:space="preserve"> offers a broad understanding of automation in any manufacturing industry and projects the need of cost and time reduction for quality improvement. Also the concept of low cost production is also covered in this syllabus.</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4D6136" w:rsidRPr="004D6136" w:rsidRDefault="004D6136" w:rsidP="00047751">
            <w:pPr>
              <w:autoSpaceDE w:val="0"/>
              <w:autoSpaceDN w:val="0"/>
              <w:adjustRightInd w:val="0"/>
              <w:rPr>
                <w:rFonts w:asciiTheme="minorHAnsi" w:hAnsiTheme="minorHAnsi" w:cstheme="minorHAnsi"/>
                <w:i/>
                <w:sz w:val="22"/>
                <w:szCs w:val="22"/>
                <w:shd w:val="clear" w:color="auto" w:fill="FFFFFF"/>
              </w:rPr>
            </w:pPr>
            <w:r w:rsidRPr="004D6136">
              <w:rPr>
                <w:rFonts w:asciiTheme="minorHAnsi" w:hAnsiTheme="minorHAnsi" w:cstheme="minorHAnsi"/>
                <w:i/>
                <w:sz w:val="22"/>
                <w:szCs w:val="22"/>
                <w:shd w:val="clear" w:color="auto" w:fill="FFFFFF"/>
              </w:rPr>
              <w:t xml:space="preserve">In this </w:t>
            </w:r>
            <w:r w:rsidR="00BC6DB6">
              <w:rPr>
                <w:rFonts w:asciiTheme="minorHAnsi" w:hAnsiTheme="minorHAnsi" w:cstheme="minorHAnsi"/>
                <w:i/>
                <w:sz w:val="22"/>
                <w:szCs w:val="22"/>
                <w:shd w:val="clear" w:color="auto" w:fill="FFFFFF"/>
              </w:rPr>
              <w:t>subjest</w:t>
            </w:r>
            <w:r w:rsidRPr="004D6136">
              <w:rPr>
                <w:rFonts w:asciiTheme="minorHAnsi" w:hAnsiTheme="minorHAnsi" w:cstheme="minorHAnsi"/>
                <w:i/>
                <w:sz w:val="22"/>
                <w:szCs w:val="22"/>
                <w:shd w:val="clear" w:color="auto" w:fill="FFFFFF"/>
              </w:rPr>
              <w:t>, students will</w:t>
            </w:r>
          </w:p>
          <w:p w:rsidR="004D6136" w:rsidRPr="004D6136" w:rsidRDefault="004D6136" w:rsidP="004D6136">
            <w:pPr>
              <w:pStyle w:val="ListParagraph"/>
              <w:numPr>
                <w:ilvl w:val="0"/>
                <w:numId w:val="16"/>
              </w:numPr>
              <w:jc w:val="both"/>
              <w:rPr>
                <w:rFonts w:asciiTheme="minorHAnsi" w:hAnsiTheme="minorHAnsi"/>
                <w:i/>
                <w:sz w:val="22"/>
                <w:szCs w:val="22"/>
              </w:rPr>
            </w:pPr>
            <w:r w:rsidRPr="004D6136">
              <w:rPr>
                <w:rFonts w:asciiTheme="minorHAnsi" w:hAnsiTheme="minorHAnsi"/>
                <w:i/>
                <w:sz w:val="22"/>
                <w:szCs w:val="22"/>
              </w:rPr>
              <w:t>Develop an understanding of classical and state-of-the-art production systems, control systems, management technology, cost systems, and evaluation techniques.</w:t>
            </w:r>
          </w:p>
          <w:p w:rsidR="004D6136" w:rsidRPr="004D6136" w:rsidRDefault="004D6136" w:rsidP="004D6136">
            <w:pPr>
              <w:pStyle w:val="ListParagraph"/>
              <w:numPr>
                <w:ilvl w:val="0"/>
                <w:numId w:val="16"/>
              </w:numPr>
              <w:jc w:val="both"/>
              <w:rPr>
                <w:rFonts w:asciiTheme="minorHAnsi" w:hAnsiTheme="minorHAnsi"/>
                <w:i/>
                <w:sz w:val="22"/>
                <w:szCs w:val="22"/>
              </w:rPr>
            </w:pPr>
            <w:r w:rsidRPr="004D6136">
              <w:rPr>
                <w:rFonts w:asciiTheme="minorHAnsi" w:hAnsiTheme="minorHAnsi"/>
                <w:i/>
                <w:sz w:val="22"/>
                <w:szCs w:val="22"/>
              </w:rPr>
              <w:t>Develop an understanding of computer-integrated manufacturing (CIM) and its impact on productivity, product cost, and quality.</w:t>
            </w:r>
          </w:p>
          <w:p w:rsidR="004D6136" w:rsidRPr="004D6136" w:rsidRDefault="004D6136" w:rsidP="004D6136">
            <w:pPr>
              <w:pStyle w:val="ListParagraph"/>
              <w:numPr>
                <w:ilvl w:val="0"/>
                <w:numId w:val="16"/>
              </w:numPr>
              <w:jc w:val="both"/>
              <w:rPr>
                <w:rFonts w:asciiTheme="minorHAnsi" w:hAnsiTheme="minorHAnsi"/>
                <w:i/>
                <w:sz w:val="22"/>
                <w:szCs w:val="22"/>
              </w:rPr>
            </w:pPr>
            <w:r w:rsidRPr="004D6136">
              <w:rPr>
                <w:rFonts w:asciiTheme="minorHAnsi" w:hAnsiTheme="minorHAnsi"/>
                <w:i/>
                <w:sz w:val="22"/>
                <w:szCs w:val="22"/>
              </w:rPr>
              <w:t>Obtain an overview of computer technologies including computers, database and data collection, networks, machine control, etc, as they apply to factory management and factory floor operations.</w:t>
            </w:r>
          </w:p>
          <w:p w:rsidR="004D6136" w:rsidRPr="004D6136" w:rsidRDefault="004D6136" w:rsidP="004D6136">
            <w:pPr>
              <w:pStyle w:val="ListParagraph"/>
              <w:numPr>
                <w:ilvl w:val="0"/>
                <w:numId w:val="16"/>
              </w:numPr>
              <w:jc w:val="both"/>
              <w:rPr>
                <w:rFonts w:asciiTheme="minorHAnsi" w:hAnsiTheme="minorHAnsi"/>
                <w:i/>
                <w:sz w:val="22"/>
                <w:szCs w:val="22"/>
              </w:rPr>
            </w:pPr>
            <w:r w:rsidRPr="004D6136">
              <w:rPr>
                <w:rFonts w:asciiTheme="minorHAnsi" w:hAnsiTheme="minorHAnsi"/>
                <w:i/>
                <w:sz w:val="22"/>
                <w:szCs w:val="22"/>
              </w:rPr>
              <w:t>Describe the integration of manufacturing activities into a complete system</w:t>
            </w:r>
          </w:p>
          <w:p w:rsidR="00047751" w:rsidRPr="004D6136" w:rsidRDefault="004D6136" w:rsidP="004D6136">
            <w:pPr>
              <w:pStyle w:val="ListParagraph"/>
              <w:numPr>
                <w:ilvl w:val="0"/>
                <w:numId w:val="16"/>
              </w:numPr>
              <w:jc w:val="both"/>
              <w:rPr>
                <w:rFonts w:ascii="Calibri" w:hAnsi="Calibri" w:cs="Calibri"/>
                <w:b/>
                <w:i/>
                <w:sz w:val="22"/>
                <w:szCs w:val="22"/>
                <w:lang w:val="en-GB"/>
              </w:rPr>
            </w:pPr>
            <w:r w:rsidRPr="004D6136">
              <w:rPr>
                <w:rFonts w:asciiTheme="minorHAnsi" w:hAnsiTheme="minorHAnsi"/>
                <w:i/>
                <w:sz w:val="22"/>
                <w:szCs w:val="22"/>
              </w:rPr>
              <w:t>Acquire sensitivity to human-factors related issues as they affect decision making in the factory environment.</w:t>
            </w:r>
          </w:p>
        </w:tc>
      </w:tr>
      <w:tr w:rsidR="00047751" w:rsidRPr="00F1706A" w:rsidTr="00D707FE">
        <w:trPr>
          <w:trHeight w:val="3331"/>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lastRenderedPageBreak/>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C0728D" w:rsidRDefault="00C0728D" w:rsidP="00C0728D">
            <w:pPr>
              <w:pStyle w:val="ListParagraph"/>
              <w:numPr>
                <w:ilvl w:val="0"/>
                <w:numId w:val="16"/>
              </w:numPr>
              <w:jc w:val="both"/>
              <w:rPr>
                <w:rFonts w:asciiTheme="minorHAnsi" w:hAnsiTheme="minorHAnsi"/>
                <w:i/>
                <w:sz w:val="22"/>
                <w:szCs w:val="22"/>
              </w:rPr>
            </w:pPr>
            <w:r w:rsidRPr="00C0728D">
              <w:rPr>
                <w:rFonts w:asciiTheme="minorHAnsi" w:hAnsiTheme="minorHAnsi"/>
                <w:i/>
                <w:sz w:val="22"/>
                <w:szCs w:val="22"/>
              </w:rPr>
              <w:t xml:space="preserve">Understand the fundamentals of production technology and shop floor planning used </w:t>
            </w:r>
            <w:r>
              <w:rPr>
                <w:rFonts w:asciiTheme="minorHAnsi" w:hAnsiTheme="minorHAnsi"/>
                <w:i/>
                <w:sz w:val="22"/>
                <w:szCs w:val="22"/>
              </w:rPr>
              <w:t>in industries.</w:t>
            </w:r>
          </w:p>
          <w:p w:rsidR="00C0728D" w:rsidRPr="00C0728D" w:rsidRDefault="00C0728D" w:rsidP="005F17DF">
            <w:pPr>
              <w:pStyle w:val="ListParagraph"/>
              <w:numPr>
                <w:ilvl w:val="0"/>
                <w:numId w:val="16"/>
              </w:numPr>
              <w:jc w:val="both"/>
              <w:rPr>
                <w:rFonts w:asciiTheme="minorHAnsi" w:hAnsiTheme="minorHAnsi"/>
                <w:i/>
                <w:sz w:val="22"/>
                <w:szCs w:val="22"/>
              </w:rPr>
            </w:pPr>
            <w:r w:rsidRPr="00C0728D">
              <w:rPr>
                <w:rFonts w:asciiTheme="minorHAnsi" w:hAnsiTheme="minorHAnsi"/>
                <w:i/>
                <w:sz w:val="22"/>
                <w:szCs w:val="22"/>
              </w:rPr>
              <w:t>Analyze the managerial decision taken to control production rate or cost of production for</w:t>
            </w:r>
            <w:r>
              <w:rPr>
                <w:rFonts w:asciiTheme="minorHAnsi" w:hAnsiTheme="minorHAnsi"/>
                <w:i/>
                <w:sz w:val="22"/>
                <w:szCs w:val="22"/>
              </w:rPr>
              <w:t xml:space="preserve"> </w:t>
            </w:r>
            <w:r w:rsidRPr="00C0728D">
              <w:rPr>
                <w:rFonts w:asciiTheme="minorHAnsi" w:hAnsiTheme="minorHAnsi"/>
                <w:i/>
                <w:sz w:val="22"/>
                <w:szCs w:val="22"/>
              </w:rPr>
              <w:t>optimizing the problem on hand.</w:t>
            </w:r>
          </w:p>
          <w:p w:rsidR="00C0728D" w:rsidRPr="00C0728D" w:rsidRDefault="00C0728D" w:rsidP="00C0728D">
            <w:pPr>
              <w:pStyle w:val="ListParagraph"/>
              <w:numPr>
                <w:ilvl w:val="0"/>
                <w:numId w:val="16"/>
              </w:numPr>
              <w:jc w:val="both"/>
              <w:rPr>
                <w:rFonts w:asciiTheme="minorHAnsi" w:hAnsiTheme="minorHAnsi"/>
                <w:i/>
                <w:sz w:val="22"/>
                <w:szCs w:val="22"/>
              </w:rPr>
            </w:pPr>
            <w:r w:rsidRPr="00C0728D">
              <w:rPr>
                <w:rFonts w:asciiTheme="minorHAnsi" w:hAnsiTheme="minorHAnsi"/>
                <w:i/>
                <w:sz w:val="22"/>
                <w:szCs w:val="22"/>
              </w:rPr>
              <w:t>Judge the importance of Mechatronics Engineering, a multidisciplinary branch of engineering.</w:t>
            </w:r>
          </w:p>
          <w:p w:rsidR="00047751" w:rsidRPr="003210C9" w:rsidRDefault="00C0728D" w:rsidP="00C0728D">
            <w:pPr>
              <w:pStyle w:val="ListParagraph"/>
              <w:numPr>
                <w:ilvl w:val="0"/>
                <w:numId w:val="16"/>
              </w:numPr>
              <w:spacing w:before="100" w:beforeAutospacing="1" w:after="100" w:afterAutospacing="1"/>
              <w:rPr>
                <w:rFonts w:ascii="Calibri" w:hAnsi="Calibri" w:cs="Calibri"/>
                <w:i/>
                <w:sz w:val="22"/>
                <w:szCs w:val="22"/>
                <w:lang w:val="en-GB"/>
              </w:rPr>
            </w:pPr>
            <w:r w:rsidRPr="00C0728D">
              <w:rPr>
                <w:rFonts w:asciiTheme="minorHAnsi" w:hAnsiTheme="minorHAnsi"/>
                <w:i/>
                <w:sz w:val="22"/>
                <w:szCs w:val="22"/>
              </w:rPr>
              <w:t>Finalize alternate method of manufacturing using the concept of automation.</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B27201" w:rsidRPr="00E61CB8" w:rsidRDefault="00A7423C" w:rsidP="00B27201">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B27201" w:rsidRPr="00E61CB8" w:rsidRDefault="00A7423C" w:rsidP="00B27201">
            <w:pPr>
              <w:jc w:val="right"/>
              <w:rPr>
                <w:rFonts w:ascii="Calibri" w:hAnsi="Calibri"/>
                <w:color w:val="000000"/>
                <w:sz w:val="22"/>
                <w:szCs w:val="22"/>
                <w:lang w:val="sq-AL"/>
              </w:rPr>
            </w:pPr>
            <w:r>
              <w:rPr>
                <w:rFonts w:ascii="Calibri" w:hAnsi="Calibri"/>
                <w:color w:val="000000"/>
                <w:sz w:val="22"/>
                <w:szCs w:val="22"/>
                <w:lang w:val="sq-AL"/>
              </w:rPr>
              <w:t>4</w:t>
            </w:r>
          </w:p>
        </w:tc>
        <w:tc>
          <w:tcPr>
            <w:tcW w:w="1693" w:type="dxa"/>
            <w:tcBorders>
              <w:left w:val="single" w:sz="4" w:space="0" w:color="auto"/>
            </w:tcBorders>
            <w:shd w:val="clear" w:color="auto" w:fill="FFFFFF"/>
          </w:tcPr>
          <w:p w:rsidR="00B27201" w:rsidRPr="00E61CB8" w:rsidRDefault="00A7423C" w:rsidP="00B27201">
            <w:pPr>
              <w:jc w:val="right"/>
              <w:rPr>
                <w:rFonts w:ascii="Calibri" w:hAnsi="Calibri"/>
                <w:color w:val="000000"/>
                <w:sz w:val="22"/>
                <w:szCs w:val="22"/>
                <w:lang w:val="sq-AL"/>
              </w:rPr>
            </w:pPr>
            <w:r>
              <w:rPr>
                <w:rFonts w:ascii="Calibri" w:hAnsi="Calibri"/>
                <w:color w:val="000000"/>
                <w:sz w:val="22"/>
                <w:szCs w:val="22"/>
                <w:lang w:val="sq-AL"/>
              </w:rPr>
              <w:t>8</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B27201" w:rsidRPr="00E61CB8" w:rsidRDefault="00B27201" w:rsidP="00B27201">
            <w:pPr>
              <w:rPr>
                <w:rFonts w:ascii="Calibri" w:hAnsi="Calibri"/>
                <w:color w:val="000000"/>
                <w:sz w:val="22"/>
                <w:szCs w:val="22"/>
                <w:lang w:val="sq-AL"/>
              </w:rPr>
            </w:pPr>
            <w:r w:rsidRPr="00E61CB8">
              <w:rPr>
                <w:rFonts w:ascii="Calibri" w:hAnsi="Calibri"/>
                <w:color w:val="000000"/>
                <w:sz w:val="22"/>
                <w:szCs w:val="22"/>
                <w:lang w:val="sq-AL"/>
              </w:rPr>
              <w:t> </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B27201" w:rsidRPr="00E61CB8" w:rsidRDefault="00F46152" w:rsidP="00B27201">
            <w:pPr>
              <w:jc w:val="right"/>
              <w:rPr>
                <w:rFonts w:ascii="Calibri" w:hAnsi="Calibri"/>
                <w:color w:val="000000"/>
                <w:sz w:val="22"/>
                <w:szCs w:val="22"/>
                <w:lang w:val="sq-AL"/>
              </w:rPr>
            </w:pPr>
            <w:r>
              <w:rPr>
                <w:rFonts w:ascii="Calibri" w:hAnsi="Calibri"/>
                <w:color w:val="000000"/>
                <w:sz w:val="22"/>
                <w:szCs w:val="22"/>
                <w:lang w:val="sq-AL"/>
              </w:rPr>
              <w:t>20</w:t>
            </w:r>
            <w:r w:rsidR="00B27201"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bookmarkStart w:id="0" w:name="_GoBack"/>
            <w:bookmarkEnd w:id="0"/>
          </w:p>
        </w:tc>
        <w:tc>
          <w:tcPr>
            <w:tcW w:w="1693" w:type="dxa"/>
            <w:tcBorders>
              <w:lef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Pr>
                <w:rFonts w:ascii="Calibri" w:hAnsi="Calibri"/>
                <w:color w:val="000000"/>
                <w:sz w:val="22"/>
                <w:szCs w:val="22"/>
                <w:lang w:val="sq-AL"/>
              </w:rPr>
              <w:t>45</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B27201" w:rsidRPr="00E61CB8" w:rsidRDefault="00A7423C" w:rsidP="00B27201">
            <w:pPr>
              <w:jc w:val="right"/>
              <w:rPr>
                <w:rFonts w:ascii="Calibri" w:hAnsi="Calibri"/>
                <w:color w:val="000000"/>
                <w:sz w:val="22"/>
                <w:szCs w:val="22"/>
                <w:lang w:val="sq-AL"/>
              </w:rPr>
            </w:pPr>
            <w:r>
              <w:rPr>
                <w:rFonts w:ascii="Calibri" w:hAnsi="Calibri"/>
                <w:color w:val="000000"/>
                <w:sz w:val="22"/>
                <w:szCs w:val="22"/>
                <w:lang w:val="sq-AL"/>
              </w:rPr>
              <w:t>15</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Pr>
                <w:rFonts w:ascii="Calibri" w:hAnsi="Calibri"/>
                <w:color w:val="000000"/>
                <w:sz w:val="22"/>
                <w:szCs w:val="22"/>
                <w:lang w:val="sq-AL"/>
              </w:rPr>
              <w:t>15</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B27201" w:rsidRPr="00E61CB8" w:rsidRDefault="00A7423C" w:rsidP="00B27201">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B27201" w:rsidRPr="00E61CB8" w:rsidRDefault="00A7423C" w:rsidP="00B27201">
            <w:pPr>
              <w:jc w:val="right"/>
              <w:rPr>
                <w:rFonts w:ascii="Calibri" w:hAnsi="Calibri"/>
                <w:color w:val="000000"/>
                <w:sz w:val="22"/>
                <w:szCs w:val="22"/>
                <w:lang w:val="sq-AL"/>
              </w:rPr>
            </w:pPr>
            <w:r>
              <w:rPr>
                <w:rFonts w:ascii="Calibri" w:hAnsi="Calibri"/>
                <w:color w:val="000000"/>
                <w:sz w:val="22"/>
                <w:szCs w:val="22"/>
                <w:lang w:val="sq-AL"/>
              </w:rPr>
              <w:t>1</w:t>
            </w:r>
          </w:p>
        </w:tc>
      </w:tr>
      <w:tr w:rsidR="00B27201" w:rsidRPr="00F1706A" w:rsidTr="00037D7B">
        <w:tc>
          <w:tcPr>
            <w:tcW w:w="4338" w:type="dxa"/>
            <w:gridSpan w:val="2"/>
            <w:tcBorders>
              <w:right w:val="single" w:sz="4" w:space="0" w:color="auto"/>
            </w:tcBorders>
            <w:shd w:val="clear" w:color="auto" w:fill="FFFFFF"/>
          </w:tcPr>
          <w:p w:rsidR="00B27201" w:rsidRPr="00F1706A" w:rsidRDefault="00B27201" w:rsidP="00B27201">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B27201" w:rsidRPr="00E61CB8" w:rsidRDefault="00A7423C" w:rsidP="00B27201">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B27201" w:rsidRPr="00E61CB8" w:rsidRDefault="00B27201" w:rsidP="00B27201">
            <w:pPr>
              <w:jc w:val="right"/>
              <w:rPr>
                <w:rFonts w:ascii="Calibri" w:hAnsi="Calibri"/>
                <w:color w:val="000000"/>
                <w:sz w:val="22"/>
                <w:szCs w:val="22"/>
                <w:lang w:val="sq-AL"/>
              </w:rPr>
            </w:pPr>
            <w:r>
              <w:rPr>
                <w:rFonts w:ascii="Calibri" w:hAnsi="Calibri"/>
                <w:color w:val="000000"/>
                <w:sz w:val="22"/>
                <w:szCs w:val="22"/>
                <w:lang w:val="sq-AL"/>
              </w:rPr>
              <w:t>1</w:t>
            </w:r>
          </w:p>
        </w:tc>
      </w:tr>
      <w:tr w:rsidR="00B27201" w:rsidRPr="00F1706A" w:rsidTr="00E57AED">
        <w:trPr>
          <w:trHeight w:val="413"/>
        </w:trPr>
        <w:tc>
          <w:tcPr>
            <w:tcW w:w="4338" w:type="dxa"/>
            <w:gridSpan w:val="2"/>
            <w:tcBorders>
              <w:right w:val="single" w:sz="4" w:space="0" w:color="auto"/>
            </w:tcBorders>
            <w:shd w:val="clear" w:color="auto" w:fill="D9D9D9"/>
          </w:tcPr>
          <w:p w:rsidR="00B27201" w:rsidRPr="00F1706A" w:rsidRDefault="00B27201" w:rsidP="00B27201">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vAlign w:val="center"/>
          </w:tcPr>
          <w:p w:rsidR="00B27201" w:rsidRPr="00F1706A" w:rsidRDefault="00B27201" w:rsidP="00B27201">
            <w:pPr>
              <w:jc w:val="center"/>
              <w:rPr>
                <w:rFonts w:ascii="Calibri" w:hAnsi="Calibri" w:cs="Calibri"/>
                <w:b/>
                <w:sz w:val="22"/>
                <w:szCs w:val="22"/>
                <w:lang w:val="en-GB"/>
              </w:rPr>
            </w:pPr>
          </w:p>
        </w:tc>
        <w:tc>
          <w:tcPr>
            <w:tcW w:w="1574" w:type="dxa"/>
            <w:tcBorders>
              <w:left w:val="single" w:sz="4" w:space="0" w:color="auto"/>
              <w:right w:val="single" w:sz="4" w:space="0" w:color="auto"/>
            </w:tcBorders>
            <w:shd w:val="clear" w:color="auto" w:fill="D9D9D9"/>
            <w:vAlign w:val="center"/>
          </w:tcPr>
          <w:p w:rsidR="00B27201" w:rsidRPr="00F1706A" w:rsidRDefault="00B27201" w:rsidP="00B27201">
            <w:pPr>
              <w:jc w:val="center"/>
              <w:rPr>
                <w:rFonts w:ascii="Calibri" w:hAnsi="Calibri" w:cs="Calibri"/>
                <w:b/>
                <w:sz w:val="22"/>
                <w:szCs w:val="22"/>
                <w:lang w:val="en-GB"/>
              </w:rPr>
            </w:pPr>
          </w:p>
        </w:tc>
        <w:tc>
          <w:tcPr>
            <w:tcW w:w="1693" w:type="dxa"/>
            <w:tcBorders>
              <w:left w:val="single" w:sz="4" w:space="0" w:color="auto"/>
            </w:tcBorders>
            <w:shd w:val="clear" w:color="auto" w:fill="D9D9D9"/>
            <w:vAlign w:val="center"/>
          </w:tcPr>
          <w:p w:rsidR="00B27201" w:rsidRPr="00F1706A" w:rsidRDefault="00B27201" w:rsidP="00B27201">
            <w:pPr>
              <w:jc w:val="right"/>
              <w:rPr>
                <w:rFonts w:ascii="Calibri" w:hAnsi="Calibri" w:cs="Calibri"/>
                <w:b/>
                <w:sz w:val="22"/>
                <w:szCs w:val="22"/>
                <w:lang w:val="en-GB"/>
              </w:rPr>
            </w:pPr>
            <w:r>
              <w:rPr>
                <w:rFonts w:ascii="Calibri" w:hAnsi="Calibri" w:cs="Calibri"/>
                <w:b/>
                <w:sz w:val="22"/>
                <w:szCs w:val="22"/>
                <w:lang w:val="en-GB"/>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B27201" w:rsidRPr="00252B87" w:rsidRDefault="00B27201" w:rsidP="00B27201">
            <w:pPr>
              <w:rPr>
                <w:rFonts w:ascii="Calibri" w:hAnsi="Calibri" w:cs="Calibri"/>
                <w:i/>
                <w:sz w:val="22"/>
                <w:szCs w:val="22"/>
                <w:lang w:val="en-GB"/>
              </w:rPr>
            </w:pPr>
            <w:r w:rsidRPr="00252B87">
              <w:rPr>
                <w:rFonts w:ascii="Calibri" w:hAnsi="Calibri" w:cs="Calibri"/>
                <w:i/>
                <w:sz w:val="22"/>
                <w:szCs w:val="22"/>
                <w:lang w:val="en-GB"/>
              </w:rPr>
              <w:t xml:space="preserve">The </w:t>
            </w:r>
            <w:r w:rsidR="00E314EA">
              <w:rPr>
                <w:rFonts w:ascii="Calibri" w:hAnsi="Calibri" w:cs="Calibri"/>
                <w:i/>
                <w:sz w:val="22"/>
                <w:szCs w:val="22"/>
                <w:lang w:val="en-GB"/>
              </w:rPr>
              <w:t>subject</w:t>
            </w:r>
            <w:r w:rsidRPr="00252B87">
              <w:rPr>
                <w:rFonts w:ascii="Calibri" w:hAnsi="Calibri" w:cs="Calibri"/>
                <w:i/>
                <w:sz w:val="22"/>
                <w:szCs w:val="22"/>
                <w:lang w:val="en-GB"/>
              </w:rPr>
              <w:t xml:space="preserve"> takes 15 weeks with 2 hours of lectures and 2 hour weekly individual and group exercises.</w:t>
            </w:r>
          </w:p>
          <w:p w:rsidR="00B27201" w:rsidRPr="00252B87" w:rsidRDefault="00B27201" w:rsidP="00B27201">
            <w:pPr>
              <w:rPr>
                <w:rFonts w:ascii="Calibri" w:hAnsi="Calibri" w:cs="Calibri"/>
                <w:i/>
                <w:sz w:val="22"/>
                <w:szCs w:val="22"/>
                <w:lang w:val="en-GB"/>
              </w:rPr>
            </w:pPr>
            <w:r w:rsidRPr="00252B87">
              <w:rPr>
                <w:rFonts w:ascii="Calibri" w:hAnsi="Calibri" w:cs="Calibri"/>
                <w:i/>
                <w:sz w:val="22"/>
                <w:szCs w:val="22"/>
                <w:lang w:val="en-GB"/>
              </w:rPr>
              <w:t>Exercises will be held in the form of individual and group work in which concrete examples will be discussed.</w:t>
            </w:r>
          </w:p>
          <w:p w:rsidR="00B27201" w:rsidRPr="00F1706A" w:rsidRDefault="00B27201" w:rsidP="00B27201">
            <w:pPr>
              <w:rPr>
                <w:rFonts w:ascii="Calibri" w:hAnsi="Calibri" w:cs="Calibri"/>
                <w:i/>
                <w:sz w:val="22"/>
                <w:szCs w:val="22"/>
                <w:lang w:val="en-GB"/>
              </w:rPr>
            </w:pPr>
            <w:r w:rsidRPr="00252B87">
              <w:rPr>
                <w:rFonts w:ascii="Calibri" w:hAnsi="Calibri" w:cs="Calibri"/>
                <w:i/>
                <w:sz w:val="22"/>
                <w:szCs w:val="22"/>
                <w:lang w:val="en-GB"/>
              </w:rPr>
              <w:t>Active participation is extremely important so students are encouraged to attend lectures and exercises regularly and contribute to the discussions that take place in lectures. Lectures, exercise, individual work, discussions and group work.</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B27201" w:rsidRPr="00E74439" w:rsidRDefault="00B27201" w:rsidP="00B27201">
            <w:pPr>
              <w:rPr>
                <w:rFonts w:ascii="Calibri" w:hAnsi="Calibri" w:cs="Calibri"/>
                <w:i/>
                <w:sz w:val="22"/>
                <w:szCs w:val="22"/>
                <w:lang w:val="en-GB"/>
              </w:rPr>
            </w:pPr>
            <w:r>
              <w:rPr>
                <w:rFonts w:ascii="Calibri" w:hAnsi="Calibri" w:cs="Calibri"/>
                <w:i/>
                <w:sz w:val="22"/>
                <w:szCs w:val="22"/>
                <w:lang w:val="en-GB"/>
              </w:rPr>
              <w:t>Coursework and presentation 5</w:t>
            </w:r>
            <w:r w:rsidRPr="00E74439">
              <w:rPr>
                <w:rFonts w:ascii="Calibri" w:hAnsi="Calibri" w:cs="Calibri"/>
                <w:i/>
                <w:sz w:val="22"/>
                <w:szCs w:val="22"/>
                <w:lang w:val="en-GB"/>
              </w:rPr>
              <w:t>0%.</w:t>
            </w:r>
          </w:p>
          <w:p w:rsidR="00B27201" w:rsidRPr="00F1706A" w:rsidRDefault="00B27201" w:rsidP="00B27201">
            <w:pPr>
              <w:rPr>
                <w:rFonts w:ascii="Calibri" w:hAnsi="Calibri" w:cs="Calibri"/>
                <w:lang w:val="en-GB"/>
              </w:rPr>
            </w:pPr>
            <w:r>
              <w:rPr>
                <w:rFonts w:ascii="Calibri" w:hAnsi="Calibri" w:cs="Calibri"/>
                <w:i/>
                <w:sz w:val="22"/>
                <w:szCs w:val="22"/>
                <w:lang w:val="en-GB"/>
              </w:rPr>
              <w:t>Final Exam 5</w:t>
            </w:r>
            <w:r w:rsidRPr="00E74439">
              <w:rPr>
                <w:rFonts w:ascii="Calibri" w:hAnsi="Calibri" w:cs="Calibri"/>
                <w:i/>
                <w:sz w:val="22"/>
                <w:szCs w:val="22"/>
                <w:lang w:val="en-GB"/>
              </w:rPr>
              <w:t>0%</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B27201" w:rsidRPr="00D94C8E" w:rsidRDefault="00B27201" w:rsidP="00B27201">
            <w:pPr>
              <w:pStyle w:val="ListParagraph"/>
              <w:numPr>
                <w:ilvl w:val="0"/>
                <w:numId w:val="8"/>
              </w:numPr>
              <w:jc w:val="both"/>
              <w:rPr>
                <w:rFonts w:ascii="Calibri" w:hAnsi="Calibri" w:cs="Calibri"/>
                <w:sz w:val="22"/>
                <w:szCs w:val="22"/>
              </w:rPr>
            </w:pPr>
            <w:r w:rsidRPr="00D94C8E">
              <w:rPr>
                <w:rFonts w:ascii="Calibri" w:hAnsi="Calibri" w:cs="Calibri"/>
                <w:sz w:val="22"/>
                <w:szCs w:val="22"/>
              </w:rPr>
              <w:t>Systems Approach to Computer Integrated Design and Manufacturing Nanua Singh, John Wiley &amp; Sons, Inc publication</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B27201" w:rsidRPr="00D94C8E" w:rsidRDefault="00B27201" w:rsidP="00B27201">
            <w:pPr>
              <w:pStyle w:val="ListParagraph"/>
              <w:numPr>
                <w:ilvl w:val="0"/>
                <w:numId w:val="13"/>
              </w:numPr>
              <w:rPr>
                <w:rFonts w:ascii="Calibri" w:hAnsi="Calibri" w:cs="Calibri"/>
                <w:i/>
                <w:color w:val="000000"/>
                <w:sz w:val="22"/>
                <w:szCs w:val="22"/>
                <w:lang w:val="en-GB"/>
              </w:rPr>
            </w:pPr>
            <w:r w:rsidRPr="00D94C8E">
              <w:rPr>
                <w:rFonts w:ascii="Calibri" w:hAnsi="Calibri" w:cs="Calibri"/>
                <w:sz w:val="22"/>
                <w:szCs w:val="22"/>
              </w:rPr>
              <w:t xml:space="preserve">Automation, Production System and Computer Integrated Manufacturing M.P. Groover, PHI </w:t>
            </w:r>
            <w:r w:rsidRPr="00D94C8E">
              <w:rPr>
                <w:rFonts w:ascii="Calibri" w:hAnsi="Calibri" w:cs="Calibri"/>
                <w:sz w:val="22"/>
                <w:szCs w:val="22"/>
              </w:rPr>
              <w:lastRenderedPageBreak/>
              <w:t>publication</w:t>
            </w:r>
          </w:p>
        </w:tc>
      </w:tr>
      <w:tr w:rsidR="00B27201" w:rsidRPr="00F1706A" w:rsidTr="00E57AED">
        <w:tc>
          <w:tcPr>
            <w:tcW w:w="2977" w:type="dxa"/>
            <w:tcBorders>
              <w:top w:val="single" w:sz="4" w:space="0" w:color="000000"/>
              <w:left w:val="single" w:sz="4" w:space="0" w:color="000000"/>
              <w:bottom w:val="single" w:sz="4" w:space="0" w:color="000000"/>
              <w:right w:val="single" w:sz="4" w:space="0" w:color="000000"/>
            </w:tcBorders>
            <w:vAlign w:val="center"/>
          </w:tcPr>
          <w:p w:rsidR="00B27201" w:rsidRPr="00F1706A" w:rsidRDefault="00B27201" w:rsidP="00B27201">
            <w:pPr>
              <w:rPr>
                <w:rFonts w:ascii="Calibri" w:hAnsi="Calibri" w:cs="Calibri"/>
                <w:b/>
                <w:color w:val="000000"/>
                <w:lang w:val="en-GB"/>
              </w:rPr>
            </w:pPr>
            <w:r w:rsidRPr="00F1706A">
              <w:rPr>
                <w:rFonts w:ascii="Calibri" w:hAnsi="Calibri" w:cs="Calibri"/>
                <w:b/>
                <w:color w:val="000000"/>
                <w:sz w:val="22"/>
                <w:szCs w:val="22"/>
                <w:lang w:val="en-GB"/>
              </w:rPr>
              <w:lastRenderedPageBreak/>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B27201" w:rsidRPr="00C0728D" w:rsidRDefault="00B27201" w:rsidP="00B27201">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6</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40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one:</w:t>
            </w:r>
          </w:p>
        </w:tc>
        <w:tc>
          <w:tcPr>
            <w:tcW w:w="5984" w:type="dxa"/>
          </w:tcPr>
          <w:p w:rsidR="006347E5" w:rsidRPr="006347E5" w:rsidRDefault="006347E5" w:rsidP="006347E5">
            <w:pPr>
              <w:rPr>
                <w:rFonts w:ascii="Calibri" w:hAnsi="Calibri" w:cs="Calibri"/>
                <w:i/>
                <w:sz w:val="22"/>
                <w:szCs w:val="22"/>
              </w:rPr>
            </w:pPr>
            <w:r w:rsidRPr="006347E5">
              <w:rPr>
                <w:rFonts w:ascii="Calibri" w:hAnsi="Calibri" w:cs="Calibri"/>
                <w:i/>
                <w:sz w:val="22"/>
                <w:szCs w:val="22"/>
              </w:rPr>
              <w:t>Introduction</w:t>
            </w:r>
          </w:p>
          <w:p w:rsidR="007C2D0F" w:rsidRPr="00C0728D" w:rsidRDefault="006347E5" w:rsidP="006347E5">
            <w:pPr>
              <w:rPr>
                <w:rFonts w:ascii="Calibri" w:hAnsi="Calibri" w:cs="Calibri"/>
                <w:i/>
                <w:sz w:val="22"/>
                <w:szCs w:val="22"/>
                <w:highlight w:val="yellow"/>
              </w:rPr>
            </w:pPr>
            <w:r w:rsidRPr="006347E5">
              <w:rPr>
                <w:rFonts w:ascii="Calibri" w:hAnsi="Calibri" w:cs="Calibri"/>
                <w:i/>
                <w:sz w:val="22"/>
                <w:szCs w:val="22"/>
              </w:rPr>
              <w:t>Automation; Manufacturing operations and production facilities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two:</w:t>
            </w:r>
          </w:p>
        </w:tc>
        <w:tc>
          <w:tcPr>
            <w:tcW w:w="5984" w:type="dxa"/>
          </w:tcPr>
          <w:p w:rsidR="007C2D0F" w:rsidRPr="00C0728D" w:rsidRDefault="00F62B3E" w:rsidP="00BE4D21">
            <w:pPr>
              <w:rPr>
                <w:rFonts w:ascii="Calibri" w:hAnsi="Calibri" w:cs="Calibri"/>
                <w:i/>
                <w:sz w:val="22"/>
                <w:szCs w:val="22"/>
                <w:highlight w:val="yellow"/>
              </w:rPr>
            </w:pPr>
            <w:r>
              <w:rPr>
                <w:rFonts w:ascii="Calibri" w:hAnsi="Calibri" w:cs="Calibri"/>
                <w:i/>
                <w:sz w:val="22"/>
                <w:szCs w:val="22"/>
              </w:rPr>
              <w:t>P</w:t>
            </w:r>
            <w:r w:rsidRPr="00F62B3E">
              <w:rPr>
                <w:rFonts w:ascii="Calibri" w:hAnsi="Calibri" w:cs="Calibri"/>
                <w:i/>
                <w:sz w:val="22"/>
                <w:szCs w:val="22"/>
              </w:rPr>
              <w:t>roduction performance, Realizing CIM and future trends in manufacturing</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three:</w:t>
            </w:r>
          </w:p>
        </w:tc>
        <w:tc>
          <w:tcPr>
            <w:tcW w:w="5984" w:type="dxa"/>
          </w:tcPr>
          <w:p w:rsidR="00DF4076" w:rsidRPr="00DF4076" w:rsidRDefault="00DF4076" w:rsidP="00DF4076">
            <w:pPr>
              <w:rPr>
                <w:rFonts w:ascii="Calibri" w:hAnsi="Calibri" w:cs="Calibri"/>
                <w:i/>
                <w:sz w:val="22"/>
                <w:szCs w:val="22"/>
              </w:rPr>
            </w:pPr>
            <w:r w:rsidRPr="00DF4076">
              <w:rPr>
                <w:rFonts w:ascii="Calibri" w:hAnsi="Calibri" w:cs="Calibri"/>
                <w:i/>
                <w:sz w:val="22"/>
                <w:szCs w:val="22"/>
              </w:rPr>
              <w:t>Concurrent Engineering</w:t>
            </w:r>
          </w:p>
          <w:p w:rsidR="007C2D0F" w:rsidRPr="00DF4076" w:rsidRDefault="00DF4076" w:rsidP="00DF4076">
            <w:pPr>
              <w:rPr>
                <w:rFonts w:ascii="Calibri" w:hAnsi="Calibri" w:cs="Calibri"/>
                <w:i/>
                <w:sz w:val="22"/>
                <w:szCs w:val="22"/>
              </w:rPr>
            </w:pPr>
            <w:r w:rsidRPr="00DF4076">
              <w:rPr>
                <w:rFonts w:ascii="Calibri" w:hAnsi="Calibri" w:cs="Calibri"/>
                <w:i/>
                <w:sz w:val="22"/>
                <w:szCs w:val="22"/>
              </w:rPr>
              <w:t>Serial versus concurrent engineering; benefits of concurrent engineering</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DF4076" w:rsidP="00DF4076">
            <w:pPr>
              <w:rPr>
                <w:rFonts w:ascii="Calibri" w:hAnsi="Calibri" w:cs="Calibri"/>
                <w:i/>
                <w:sz w:val="22"/>
                <w:szCs w:val="22"/>
                <w:highlight w:val="yellow"/>
              </w:rPr>
            </w:pPr>
            <w:r>
              <w:rPr>
                <w:rFonts w:ascii="Calibri" w:hAnsi="Calibri" w:cs="Calibri"/>
                <w:i/>
                <w:sz w:val="22"/>
                <w:szCs w:val="22"/>
              </w:rPr>
              <w:t>C</w:t>
            </w:r>
            <w:r w:rsidRPr="00DF4076">
              <w:rPr>
                <w:rFonts w:ascii="Calibri" w:hAnsi="Calibri" w:cs="Calibri"/>
                <w:i/>
                <w:sz w:val="22"/>
                <w:szCs w:val="22"/>
              </w:rPr>
              <w:t>haracterization, difficulties and techniques of concurrent engineering</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C840B9" w:rsidRPr="00C840B9" w:rsidRDefault="00C840B9" w:rsidP="00C840B9">
            <w:pPr>
              <w:rPr>
                <w:rFonts w:ascii="Calibri" w:hAnsi="Calibri" w:cs="Calibri"/>
                <w:i/>
                <w:sz w:val="22"/>
                <w:szCs w:val="22"/>
              </w:rPr>
            </w:pPr>
            <w:r w:rsidRPr="00C840B9">
              <w:rPr>
                <w:rFonts w:ascii="Calibri" w:hAnsi="Calibri" w:cs="Calibri"/>
                <w:i/>
                <w:sz w:val="22"/>
                <w:szCs w:val="22"/>
              </w:rPr>
              <w:t>Manufacturing Planning and Control System</w:t>
            </w:r>
          </w:p>
          <w:p w:rsidR="007C2D0F" w:rsidRPr="00C0728D" w:rsidRDefault="00C840B9" w:rsidP="00C840B9">
            <w:pPr>
              <w:rPr>
                <w:rFonts w:ascii="Calibri" w:hAnsi="Calibri" w:cs="Calibri"/>
                <w:i/>
                <w:sz w:val="22"/>
                <w:szCs w:val="22"/>
                <w:highlight w:val="yellow"/>
              </w:rPr>
            </w:pPr>
            <w:r w:rsidRPr="00C840B9">
              <w:rPr>
                <w:rFonts w:ascii="Calibri" w:hAnsi="Calibri" w:cs="Calibri"/>
                <w:i/>
                <w:sz w:val="22"/>
                <w:szCs w:val="22"/>
              </w:rPr>
              <w:t>Demand management; Material requirement planning; MRP lot sizing</w:t>
            </w:r>
            <w:r>
              <w:rPr>
                <w:rFonts w:ascii="Calibri" w:hAnsi="Calibri" w:cs="Calibri"/>
                <w:i/>
                <w:sz w:val="22"/>
                <w:szCs w:val="22"/>
              </w:rPr>
              <w:t xml:space="preserve"> </w:t>
            </w:r>
            <w:r w:rsidRPr="00C840B9">
              <w:rPr>
                <w:rFonts w:ascii="Calibri" w:hAnsi="Calibri" w:cs="Calibri"/>
                <w:i/>
                <w:sz w:val="22"/>
                <w:szCs w:val="22"/>
              </w:rPr>
              <w:t>problem; capacity planning; shop floor control</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C840B9" w:rsidRPr="00C840B9" w:rsidRDefault="00C840B9" w:rsidP="00C840B9">
            <w:pPr>
              <w:rPr>
                <w:rFonts w:ascii="Calibri" w:hAnsi="Calibri" w:cs="Calibri"/>
                <w:i/>
                <w:sz w:val="22"/>
                <w:szCs w:val="22"/>
              </w:rPr>
            </w:pPr>
            <w:r w:rsidRPr="00C840B9">
              <w:rPr>
                <w:rFonts w:ascii="Calibri" w:hAnsi="Calibri" w:cs="Calibri"/>
                <w:i/>
                <w:sz w:val="22"/>
                <w:szCs w:val="22"/>
              </w:rPr>
              <w:t>Just-in-Time Manufacturing System</w:t>
            </w:r>
          </w:p>
          <w:p w:rsidR="007C2D0F" w:rsidRPr="00C0728D" w:rsidRDefault="00C840B9" w:rsidP="00335D20">
            <w:pPr>
              <w:rPr>
                <w:rFonts w:ascii="Calibri" w:hAnsi="Calibri" w:cs="Calibri"/>
                <w:i/>
                <w:sz w:val="22"/>
                <w:szCs w:val="22"/>
                <w:highlight w:val="yellow"/>
              </w:rPr>
            </w:pPr>
            <w:r w:rsidRPr="00C840B9">
              <w:rPr>
                <w:rFonts w:ascii="Calibri" w:hAnsi="Calibri" w:cs="Calibri"/>
                <w:i/>
                <w:sz w:val="22"/>
                <w:szCs w:val="22"/>
              </w:rPr>
              <w:t>Pull versus push system; types of Kanban; Alternative JIT systems; Just–in-Time purchasing; barrier and benefits of JIT</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BE4D21" w:rsidP="007C2D0F">
            <w:pPr>
              <w:rPr>
                <w:rFonts w:ascii="Calibri" w:hAnsi="Calibri" w:cs="Calibri"/>
                <w:i/>
                <w:sz w:val="22"/>
                <w:szCs w:val="22"/>
                <w:highlight w:val="yellow"/>
              </w:rPr>
            </w:pPr>
            <w:r w:rsidRPr="000C1AFB">
              <w:rPr>
                <w:rFonts w:ascii="Calibri" w:hAnsi="Calibri" w:cs="Calibri"/>
                <w:i/>
                <w:sz w:val="22"/>
                <w:szCs w:val="22"/>
              </w:rPr>
              <w:t>Test 1</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0C1AFB" w:rsidRPr="000C1AFB" w:rsidRDefault="000C1AFB" w:rsidP="000C1AFB">
            <w:pPr>
              <w:rPr>
                <w:rFonts w:ascii="Calibri" w:hAnsi="Calibri" w:cs="Calibri"/>
                <w:i/>
                <w:sz w:val="22"/>
                <w:szCs w:val="22"/>
              </w:rPr>
            </w:pPr>
            <w:r w:rsidRPr="000C1AFB">
              <w:rPr>
                <w:rFonts w:ascii="Calibri" w:hAnsi="Calibri" w:cs="Calibri"/>
                <w:i/>
                <w:sz w:val="22"/>
                <w:szCs w:val="22"/>
              </w:rPr>
              <w:t>Group Technology and Computer Aided Process Planning</w:t>
            </w:r>
          </w:p>
          <w:p w:rsidR="007C2D0F" w:rsidRPr="00C0728D" w:rsidRDefault="000C1AFB" w:rsidP="000C1AFB">
            <w:pPr>
              <w:rPr>
                <w:rFonts w:ascii="Calibri" w:hAnsi="Calibri" w:cs="Calibri"/>
                <w:i/>
                <w:sz w:val="22"/>
                <w:szCs w:val="22"/>
                <w:highlight w:val="yellow"/>
              </w:rPr>
            </w:pPr>
            <w:r w:rsidRPr="000C1AFB">
              <w:rPr>
                <w:rFonts w:ascii="Calibri" w:hAnsi="Calibri" w:cs="Calibri"/>
                <w:i/>
                <w:sz w:val="22"/>
                <w:szCs w:val="22"/>
              </w:rPr>
              <w:t>Importance of Group Technology (GT), various classification and coding</w:t>
            </w:r>
            <w:r>
              <w:rPr>
                <w:rFonts w:ascii="Calibri" w:hAnsi="Calibri" w:cs="Calibri"/>
                <w:i/>
                <w:sz w:val="22"/>
                <w:szCs w:val="22"/>
              </w:rPr>
              <w:t xml:space="preserve"> </w:t>
            </w:r>
            <w:r w:rsidRPr="000C1AFB">
              <w:rPr>
                <w:rFonts w:ascii="Calibri" w:hAnsi="Calibri" w:cs="Calibri"/>
                <w:i/>
                <w:sz w:val="22"/>
                <w:szCs w:val="22"/>
              </w:rPr>
              <w:t>system used in GT, machine sequencing, machine grouping, Steps in developing process planning</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0C1AFB" w:rsidP="008D2609">
            <w:pPr>
              <w:rPr>
                <w:rFonts w:ascii="Calibri" w:hAnsi="Calibri" w:cs="Calibri"/>
                <w:i/>
                <w:sz w:val="22"/>
                <w:szCs w:val="22"/>
                <w:highlight w:val="yellow"/>
              </w:rPr>
            </w:pPr>
            <w:r>
              <w:rPr>
                <w:rFonts w:ascii="Calibri" w:hAnsi="Calibri" w:cs="Calibri"/>
                <w:i/>
                <w:sz w:val="22"/>
                <w:szCs w:val="22"/>
              </w:rPr>
              <w:t>P</w:t>
            </w:r>
            <w:r w:rsidRPr="000C1AFB">
              <w:rPr>
                <w:rFonts w:ascii="Calibri" w:hAnsi="Calibri" w:cs="Calibri"/>
                <w:i/>
                <w:sz w:val="22"/>
                <w:szCs w:val="22"/>
              </w:rPr>
              <w:t>rocess planning approaches; variant and generative process planning system</w:t>
            </w:r>
          </w:p>
        </w:tc>
      </w:tr>
      <w:tr w:rsidR="00532983" w:rsidRPr="00F1706A" w:rsidTr="00E57AED">
        <w:tc>
          <w:tcPr>
            <w:tcW w:w="2516" w:type="dxa"/>
          </w:tcPr>
          <w:p w:rsidR="00532983" w:rsidRPr="00F1706A" w:rsidRDefault="00532983" w:rsidP="00532983">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532983" w:rsidRPr="00212413" w:rsidRDefault="00532983" w:rsidP="00532983">
            <w:pPr>
              <w:rPr>
                <w:rFonts w:ascii="Calibri" w:hAnsi="Calibri" w:cs="Calibri"/>
                <w:i/>
                <w:sz w:val="22"/>
                <w:szCs w:val="22"/>
              </w:rPr>
            </w:pPr>
            <w:r w:rsidRPr="00212413">
              <w:rPr>
                <w:rFonts w:ascii="Calibri" w:hAnsi="Calibri" w:cs="Calibri"/>
                <w:i/>
                <w:sz w:val="22"/>
                <w:szCs w:val="22"/>
              </w:rPr>
              <w:t>Flexible Manufacturing Systems and Automated Material Handling System</w:t>
            </w:r>
          </w:p>
          <w:p w:rsidR="00532983" w:rsidRPr="00C0728D" w:rsidRDefault="00532983" w:rsidP="00532983">
            <w:pPr>
              <w:rPr>
                <w:rFonts w:ascii="Calibri" w:hAnsi="Calibri" w:cs="Calibri"/>
                <w:i/>
                <w:sz w:val="22"/>
                <w:szCs w:val="22"/>
                <w:highlight w:val="yellow"/>
              </w:rPr>
            </w:pPr>
            <w:r w:rsidRPr="00212413">
              <w:rPr>
                <w:rFonts w:ascii="Calibri" w:hAnsi="Calibri" w:cs="Calibri"/>
                <w:i/>
                <w:sz w:val="22"/>
                <w:szCs w:val="22"/>
              </w:rPr>
              <w:t>Types of flexibilities; components of FMS</w:t>
            </w:r>
          </w:p>
        </w:tc>
      </w:tr>
      <w:tr w:rsidR="00532983" w:rsidRPr="00F1706A" w:rsidTr="00E57AED">
        <w:tc>
          <w:tcPr>
            <w:tcW w:w="2516" w:type="dxa"/>
          </w:tcPr>
          <w:p w:rsidR="00532983" w:rsidRPr="00F1706A" w:rsidRDefault="00532983" w:rsidP="00532983">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532983" w:rsidRPr="00C0728D" w:rsidRDefault="00532983" w:rsidP="00532983">
            <w:pPr>
              <w:rPr>
                <w:rFonts w:ascii="Calibri" w:hAnsi="Calibri" w:cs="Calibri"/>
                <w:i/>
                <w:sz w:val="22"/>
                <w:szCs w:val="22"/>
                <w:highlight w:val="yellow"/>
              </w:rPr>
            </w:pPr>
            <w:r w:rsidRPr="00212413">
              <w:rPr>
                <w:rFonts w:ascii="Calibri" w:hAnsi="Calibri" w:cs="Calibri"/>
                <w:i/>
                <w:sz w:val="22"/>
                <w:szCs w:val="22"/>
              </w:rPr>
              <w:t>Layout consideration; FMS benefits, Analysis of automated storage and retrieval (AS/RS) system; automated guided vehicles (AGVs)</w:t>
            </w:r>
          </w:p>
        </w:tc>
      </w:tr>
      <w:tr w:rsidR="00532983" w:rsidRPr="00F1706A" w:rsidTr="00E57AED">
        <w:tc>
          <w:tcPr>
            <w:tcW w:w="2516" w:type="dxa"/>
          </w:tcPr>
          <w:p w:rsidR="00532983" w:rsidRPr="00F1706A" w:rsidRDefault="00532983" w:rsidP="00532983">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532983" w:rsidRPr="00532983" w:rsidRDefault="00532983" w:rsidP="00532983">
            <w:pPr>
              <w:rPr>
                <w:rFonts w:ascii="Calibri" w:hAnsi="Calibri" w:cs="Calibri"/>
                <w:i/>
                <w:sz w:val="22"/>
                <w:szCs w:val="22"/>
              </w:rPr>
            </w:pPr>
            <w:r w:rsidRPr="00532983">
              <w:rPr>
                <w:rFonts w:ascii="Calibri" w:hAnsi="Calibri" w:cs="Calibri"/>
                <w:i/>
                <w:sz w:val="22"/>
                <w:szCs w:val="22"/>
              </w:rPr>
              <w:t>Assembly Lines</w:t>
            </w:r>
          </w:p>
          <w:p w:rsidR="00532983" w:rsidRPr="00C0728D" w:rsidRDefault="00532983" w:rsidP="00532983">
            <w:pPr>
              <w:rPr>
                <w:rFonts w:ascii="Calibri" w:hAnsi="Calibri" w:cs="Calibri"/>
                <w:i/>
                <w:sz w:val="22"/>
                <w:szCs w:val="22"/>
                <w:highlight w:val="yellow"/>
              </w:rPr>
            </w:pPr>
            <w:r w:rsidRPr="00532983">
              <w:rPr>
                <w:rFonts w:ascii="Calibri" w:hAnsi="Calibri" w:cs="Calibri"/>
                <w:i/>
                <w:sz w:val="22"/>
                <w:szCs w:val="22"/>
              </w:rPr>
              <w:t>Manu</w:t>
            </w:r>
            <w:r>
              <w:rPr>
                <w:rFonts w:ascii="Calibri" w:hAnsi="Calibri" w:cs="Calibri"/>
                <w:i/>
                <w:sz w:val="22"/>
                <w:szCs w:val="22"/>
              </w:rPr>
              <w:t>al and Automated assembly lines</w:t>
            </w:r>
          </w:p>
        </w:tc>
      </w:tr>
      <w:tr w:rsidR="00532983" w:rsidRPr="00F1706A" w:rsidTr="00E57AED">
        <w:tc>
          <w:tcPr>
            <w:tcW w:w="2516" w:type="dxa"/>
          </w:tcPr>
          <w:p w:rsidR="00532983" w:rsidRPr="00F1706A" w:rsidRDefault="00532983" w:rsidP="00532983">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532983" w:rsidRPr="00C0728D" w:rsidRDefault="00532983" w:rsidP="00532983">
            <w:pPr>
              <w:rPr>
                <w:rFonts w:ascii="Calibri" w:hAnsi="Calibri" w:cs="Calibri"/>
                <w:i/>
                <w:sz w:val="22"/>
                <w:szCs w:val="22"/>
                <w:highlight w:val="yellow"/>
              </w:rPr>
            </w:pPr>
            <w:r w:rsidRPr="00532983">
              <w:rPr>
                <w:rFonts w:ascii="Calibri" w:hAnsi="Calibri" w:cs="Calibri"/>
                <w:i/>
                <w:sz w:val="22"/>
                <w:szCs w:val="22"/>
              </w:rPr>
              <w:t>Work station consideration; alternative assembly lines Presentation</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532983" w:rsidRDefault="00532983" w:rsidP="00212413">
            <w:pPr>
              <w:rPr>
                <w:rFonts w:ascii="Calibri" w:hAnsi="Calibri" w:cs="Calibri"/>
                <w:i/>
                <w:sz w:val="22"/>
                <w:szCs w:val="22"/>
              </w:rPr>
            </w:pPr>
            <w:r w:rsidRPr="00532983">
              <w:rPr>
                <w:rFonts w:ascii="Calibri" w:hAnsi="Calibri" w:cs="Calibri"/>
                <w:i/>
                <w:sz w:val="22"/>
                <w:szCs w:val="22"/>
              </w:rPr>
              <w:t>Presentation</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BE4D21" w:rsidP="007C2D0F">
            <w:pPr>
              <w:rPr>
                <w:rFonts w:ascii="Calibri" w:hAnsi="Calibri" w:cs="Calibri"/>
                <w:i/>
                <w:sz w:val="22"/>
                <w:szCs w:val="22"/>
                <w:highlight w:val="yellow"/>
              </w:rPr>
            </w:pPr>
            <w:r w:rsidRPr="00212413">
              <w:rPr>
                <w:rFonts w:ascii="Calibri" w:hAnsi="Calibri" w:cs="Calibri"/>
                <w:i/>
                <w:sz w:val="22"/>
                <w:szCs w:val="22"/>
              </w:rPr>
              <w:t>Test 2</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F5" w:rsidRDefault="00BD0FF5">
      <w:r>
        <w:separator/>
      </w:r>
    </w:p>
  </w:endnote>
  <w:endnote w:type="continuationSeparator" w:id="0">
    <w:p w:rsidR="00BD0FF5" w:rsidRDefault="00B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F46152">
      <w:rPr>
        <w:rStyle w:val="PageNumber"/>
        <w:noProof/>
      </w:rPr>
      <w:t>1</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F5" w:rsidRDefault="00BD0FF5">
      <w:r>
        <w:separator/>
      </w:r>
    </w:p>
  </w:footnote>
  <w:footnote w:type="continuationSeparator" w:id="0">
    <w:p w:rsidR="00BD0FF5" w:rsidRDefault="00BD0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5"/>
  </w:num>
  <w:num w:numId="5">
    <w:abstractNumId w:val="13"/>
  </w:num>
  <w:num w:numId="6">
    <w:abstractNumId w:val="1"/>
  </w:num>
  <w:num w:numId="7">
    <w:abstractNumId w:val="4"/>
  </w:num>
  <w:num w:numId="8">
    <w:abstractNumId w:val="0"/>
  </w:num>
  <w:num w:numId="9">
    <w:abstractNumId w:val="11"/>
  </w:num>
  <w:num w:numId="10">
    <w:abstractNumId w:val="16"/>
  </w:num>
  <w:num w:numId="11">
    <w:abstractNumId w:val="9"/>
  </w:num>
  <w:num w:numId="12">
    <w:abstractNumId w:val="10"/>
  </w:num>
  <w:num w:numId="13">
    <w:abstractNumId w:val="14"/>
  </w:num>
  <w:num w:numId="14">
    <w:abstractNumId w:val="8"/>
  </w:num>
  <w:num w:numId="15">
    <w:abstractNumId w:val="3"/>
  </w:num>
  <w:num w:numId="16">
    <w:abstractNumId w:val="5"/>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3E36"/>
    <w:rsid w:val="000370A1"/>
    <w:rsid w:val="00042B53"/>
    <w:rsid w:val="00043592"/>
    <w:rsid w:val="00046724"/>
    <w:rsid w:val="00047751"/>
    <w:rsid w:val="00054C6F"/>
    <w:rsid w:val="00056A4B"/>
    <w:rsid w:val="00060E9F"/>
    <w:rsid w:val="0008705E"/>
    <w:rsid w:val="000949E2"/>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06B2"/>
    <w:rsid w:val="00132604"/>
    <w:rsid w:val="001379B7"/>
    <w:rsid w:val="00151B79"/>
    <w:rsid w:val="0015259D"/>
    <w:rsid w:val="001725A0"/>
    <w:rsid w:val="001732F9"/>
    <w:rsid w:val="00175139"/>
    <w:rsid w:val="00183923"/>
    <w:rsid w:val="00190FEF"/>
    <w:rsid w:val="001950EF"/>
    <w:rsid w:val="00197831"/>
    <w:rsid w:val="001A07AE"/>
    <w:rsid w:val="001A0B51"/>
    <w:rsid w:val="001A315F"/>
    <w:rsid w:val="001B2C19"/>
    <w:rsid w:val="001B4256"/>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66FE"/>
    <w:rsid w:val="002523EF"/>
    <w:rsid w:val="00252B87"/>
    <w:rsid w:val="002610A3"/>
    <w:rsid w:val="002622BB"/>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691"/>
    <w:rsid w:val="00495C5D"/>
    <w:rsid w:val="004A2D17"/>
    <w:rsid w:val="004A717F"/>
    <w:rsid w:val="004C0CCA"/>
    <w:rsid w:val="004C662C"/>
    <w:rsid w:val="004D2578"/>
    <w:rsid w:val="004D6136"/>
    <w:rsid w:val="004F07BA"/>
    <w:rsid w:val="004F5E03"/>
    <w:rsid w:val="004F7161"/>
    <w:rsid w:val="00511324"/>
    <w:rsid w:val="00512297"/>
    <w:rsid w:val="005155CC"/>
    <w:rsid w:val="005202CF"/>
    <w:rsid w:val="0053173C"/>
    <w:rsid w:val="00532983"/>
    <w:rsid w:val="0053434C"/>
    <w:rsid w:val="005355AB"/>
    <w:rsid w:val="005404EB"/>
    <w:rsid w:val="00541B70"/>
    <w:rsid w:val="00544CA1"/>
    <w:rsid w:val="005450DB"/>
    <w:rsid w:val="00545236"/>
    <w:rsid w:val="005472F8"/>
    <w:rsid w:val="005510E8"/>
    <w:rsid w:val="0055198C"/>
    <w:rsid w:val="00552E24"/>
    <w:rsid w:val="005660F5"/>
    <w:rsid w:val="00592C48"/>
    <w:rsid w:val="00595545"/>
    <w:rsid w:val="00596D31"/>
    <w:rsid w:val="005A0638"/>
    <w:rsid w:val="005A1C1C"/>
    <w:rsid w:val="005A541E"/>
    <w:rsid w:val="005D2ECF"/>
    <w:rsid w:val="005D34E1"/>
    <w:rsid w:val="005F3F47"/>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92298"/>
    <w:rsid w:val="006A24D9"/>
    <w:rsid w:val="006A6411"/>
    <w:rsid w:val="006C0856"/>
    <w:rsid w:val="006C19C3"/>
    <w:rsid w:val="006C1D2E"/>
    <w:rsid w:val="006D6F7C"/>
    <w:rsid w:val="006D7FB4"/>
    <w:rsid w:val="006E4F16"/>
    <w:rsid w:val="006E7074"/>
    <w:rsid w:val="006F116D"/>
    <w:rsid w:val="006F1DB9"/>
    <w:rsid w:val="007002DD"/>
    <w:rsid w:val="007038CC"/>
    <w:rsid w:val="007041FC"/>
    <w:rsid w:val="007205FB"/>
    <w:rsid w:val="00742C60"/>
    <w:rsid w:val="00746CB2"/>
    <w:rsid w:val="00746D8D"/>
    <w:rsid w:val="00765E0C"/>
    <w:rsid w:val="00777D28"/>
    <w:rsid w:val="00781805"/>
    <w:rsid w:val="00792D1F"/>
    <w:rsid w:val="00797BF4"/>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74134"/>
    <w:rsid w:val="00875C6C"/>
    <w:rsid w:val="00877801"/>
    <w:rsid w:val="008806DF"/>
    <w:rsid w:val="00882B7C"/>
    <w:rsid w:val="00884206"/>
    <w:rsid w:val="0088581A"/>
    <w:rsid w:val="00893794"/>
    <w:rsid w:val="008A439B"/>
    <w:rsid w:val="008A716D"/>
    <w:rsid w:val="008B41A4"/>
    <w:rsid w:val="008B6662"/>
    <w:rsid w:val="008C2EDE"/>
    <w:rsid w:val="008C6582"/>
    <w:rsid w:val="008D0608"/>
    <w:rsid w:val="008D1531"/>
    <w:rsid w:val="008D2609"/>
    <w:rsid w:val="008F6B22"/>
    <w:rsid w:val="00903474"/>
    <w:rsid w:val="00932200"/>
    <w:rsid w:val="00973B75"/>
    <w:rsid w:val="00980917"/>
    <w:rsid w:val="00987E36"/>
    <w:rsid w:val="009902E4"/>
    <w:rsid w:val="009B2560"/>
    <w:rsid w:val="009B3F0A"/>
    <w:rsid w:val="009E0C25"/>
    <w:rsid w:val="009E2AF8"/>
    <w:rsid w:val="00A11746"/>
    <w:rsid w:val="00A513D4"/>
    <w:rsid w:val="00A545BA"/>
    <w:rsid w:val="00A662A0"/>
    <w:rsid w:val="00A679A5"/>
    <w:rsid w:val="00A67A3C"/>
    <w:rsid w:val="00A71997"/>
    <w:rsid w:val="00A7423C"/>
    <w:rsid w:val="00A820C7"/>
    <w:rsid w:val="00A850EB"/>
    <w:rsid w:val="00AA2C57"/>
    <w:rsid w:val="00AA3C2B"/>
    <w:rsid w:val="00AA6891"/>
    <w:rsid w:val="00AB1381"/>
    <w:rsid w:val="00AB580D"/>
    <w:rsid w:val="00AB7218"/>
    <w:rsid w:val="00AC08ED"/>
    <w:rsid w:val="00AF163E"/>
    <w:rsid w:val="00AF1A58"/>
    <w:rsid w:val="00B27201"/>
    <w:rsid w:val="00B35215"/>
    <w:rsid w:val="00B358E8"/>
    <w:rsid w:val="00B61689"/>
    <w:rsid w:val="00B6402C"/>
    <w:rsid w:val="00B651E2"/>
    <w:rsid w:val="00B7626A"/>
    <w:rsid w:val="00B81013"/>
    <w:rsid w:val="00B815D1"/>
    <w:rsid w:val="00B90CFC"/>
    <w:rsid w:val="00BA1018"/>
    <w:rsid w:val="00BA2DC5"/>
    <w:rsid w:val="00BA6E9C"/>
    <w:rsid w:val="00BB1A1A"/>
    <w:rsid w:val="00BC2480"/>
    <w:rsid w:val="00BC2D2E"/>
    <w:rsid w:val="00BC3EF0"/>
    <w:rsid w:val="00BC6DB6"/>
    <w:rsid w:val="00BC6F4F"/>
    <w:rsid w:val="00BD0FF5"/>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5477E"/>
    <w:rsid w:val="00D67209"/>
    <w:rsid w:val="00D707FE"/>
    <w:rsid w:val="00D879C8"/>
    <w:rsid w:val="00D915FF"/>
    <w:rsid w:val="00D94C8E"/>
    <w:rsid w:val="00D979E4"/>
    <w:rsid w:val="00DB2823"/>
    <w:rsid w:val="00DB7C46"/>
    <w:rsid w:val="00DC2A89"/>
    <w:rsid w:val="00DC545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6393"/>
    <w:rsid w:val="00EA4F96"/>
    <w:rsid w:val="00EB00C9"/>
    <w:rsid w:val="00ED3E0F"/>
    <w:rsid w:val="00ED7D90"/>
    <w:rsid w:val="00EF57F9"/>
    <w:rsid w:val="00F04222"/>
    <w:rsid w:val="00F071EE"/>
    <w:rsid w:val="00F1706A"/>
    <w:rsid w:val="00F20EBE"/>
    <w:rsid w:val="00F34158"/>
    <w:rsid w:val="00F356A1"/>
    <w:rsid w:val="00F46152"/>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A29C-6406-4D0C-8CD6-03FCC4DB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100</cp:revision>
  <cp:lastPrinted>2016-10-06T07:15:00Z</cp:lastPrinted>
  <dcterms:created xsi:type="dcterms:W3CDTF">2017-03-04T22:51:00Z</dcterms:created>
  <dcterms:modified xsi:type="dcterms:W3CDTF">2019-03-20T12:21:00Z</dcterms:modified>
</cp:coreProperties>
</file>