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9"/>
        <w:gridCol w:w="2409"/>
        <w:gridCol w:w="1134"/>
        <w:gridCol w:w="1134"/>
        <w:gridCol w:w="993"/>
      </w:tblGrid>
      <w:tr w:rsidR="00CF116F" w:rsidRPr="00797883" w:rsidTr="00D73FF1">
        <w:tc>
          <w:tcPr>
            <w:tcW w:w="8926" w:type="dxa"/>
            <w:gridSpan w:val="6"/>
            <w:shd w:val="clear" w:color="auto" w:fill="D9D9D9"/>
          </w:tcPr>
          <w:p w:rsidR="00CF116F" w:rsidRPr="00797883" w:rsidRDefault="00CF116F" w:rsidP="00CF116F">
            <w:pPr>
              <w:pStyle w:val="NoSpacing"/>
              <w:rPr>
                <w:rFonts w:ascii="Book Antiqua" w:hAnsi="Book Antiqua"/>
                <w:b/>
                <w:sz w:val="28"/>
                <w:lang w:val="sq-AL"/>
              </w:rPr>
            </w:pPr>
            <w:r w:rsidRPr="00797883">
              <w:rPr>
                <w:rFonts w:ascii="Book Antiqua" w:hAnsi="Book Antiqua" w:cs="Calibri"/>
                <w:b/>
                <w:sz w:val="22"/>
                <w:szCs w:val="22"/>
                <w:lang w:val="sq-AL"/>
              </w:rPr>
              <w:t>Të dh</w:t>
            </w:r>
            <w:r w:rsidR="00FB050B" w:rsidRPr="00797883">
              <w:rPr>
                <w:rFonts w:ascii="Book Antiqua" w:hAnsi="Book Antiqua" w:cs="Calibri"/>
                <w:b/>
                <w:sz w:val="22"/>
                <w:szCs w:val="22"/>
                <w:lang w:val="sq-AL"/>
              </w:rPr>
              <w:t>ë</w:t>
            </w:r>
            <w:r w:rsidRPr="00797883">
              <w:rPr>
                <w:rFonts w:ascii="Book Antiqua" w:hAnsi="Book Antiqua" w:cs="Calibri"/>
                <w:b/>
                <w:sz w:val="22"/>
                <w:szCs w:val="22"/>
                <w:lang w:val="sq-AL"/>
              </w:rPr>
              <w:t>na bazike t</w:t>
            </w:r>
            <w:r w:rsidR="00FB050B" w:rsidRPr="00797883">
              <w:rPr>
                <w:rFonts w:ascii="Book Antiqua" w:hAnsi="Book Antiqua" w:cs="Calibri"/>
                <w:b/>
                <w:sz w:val="22"/>
                <w:szCs w:val="22"/>
                <w:lang w:val="sq-AL"/>
              </w:rPr>
              <w:t>ë</w:t>
            </w:r>
            <w:r w:rsidRPr="00797883">
              <w:rPr>
                <w:rFonts w:ascii="Book Antiqua" w:hAnsi="Book Antiqua" w:cs="Calibri"/>
                <w:b/>
                <w:sz w:val="22"/>
                <w:szCs w:val="22"/>
                <w:lang w:val="sq-AL"/>
              </w:rPr>
              <w:t xml:space="preserve"> l</w:t>
            </w:r>
            <w:r w:rsidR="00FB050B" w:rsidRPr="00797883">
              <w:rPr>
                <w:rFonts w:ascii="Book Antiqua" w:hAnsi="Book Antiqua" w:cs="Calibri"/>
                <w:b/>
                <w:sz w:val="22"/>
                <w:szCs w:val="22"/>
                <w:lang w:val="sq-AL"/>
              </w:rPr>
              <w:t>ë</w:t>
            </w:r>
            <w:r w:rsidRPr="00797883">
              <w:rPr>
                <w:rFonts w:ascii="Book Antiqua" w:hAnsi="Book Antiqua" w:cs="Calibri"/>
                <w:b/>
                <w:sz w:val="22"/>
                <w:szCs w:val="22"/>
                <w:lang w:val="sq-AL"/>
              </w:rPr>
              <w:t>nd</w:t>
            </w:r>
            <w:r w:rsidR="00FB050B" w:rsidRPr="00797883">
              <w:rPr>
                <w:rFonts w:ascii="Book Antiqua" w:hAnsi="Book Antiqua" w:cs="Calibri"/>
                <w:b/>
                <w:sz w:val="22"/>
                <w:szCs w:val="22"/>
                <w:lang w:val="sq-AL"/>
              </w:rPr>
              <w:t>ë</w:t>
            </w:r>
            <w:r w:rsidRPr="00797883">
              <w:rPr>
                <w:rFonts w:ascii="Book Antiqua" w:hAnsi="Book Antiqua" w:cs="Calibri"/>
                <w:b/>
                <w:sz w:val="22"/>
                <w:szCs w:val="22"/>
                <w:lang w:val="sq-AL"/>
              </w:rPr>
              <w:t>s</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 xml:space="preserve">Njësia akademike: </w:t>
            </w:r>
          </w:p>
        </w:tc>
        <w:tc>
          <w:tcPr>
            <w:tcW w:w="5699" w:type="dxa"/>
            <w:gridSpan w:val="5"/>
          </w:tcPr>
          <w:p w:rsidR="00CE7DC6" w:rsidRPr="00797883" w:rsidRDefault="00797883" w:rsidP="00CE7DC6">
            <w:pPr>
              <w:pStyle w:val="NoSpacing"/>
              <w:rPr>
                <w:rFonts w:ascii="Book Antiqua" w:hAnsi="Book Antiqua" w:cs="Calibri"/>
                <w:b/>
                <w:sz w:val="22"/>
                <w:szCs w:val="22"/>
                <w:lang w:val="sq-AL"/>
              </w:rPr>
            </w:pPr>
            <w:r w:rsidRPr="00A63C2B">
              <w:rPr>
                <w:rFonts w:ascii="Book Antiqua" w:hAnsi="Book Antiqua"/>
                <w:b/>
                <w:sz w:val="22"/>
                <w:szCs w:val="28"/>
                <w:lang w:val="sq-AL"/>
              </w:rPr>
              <w:t>Fakulteiti i Arkitekturës, Dizajnit dhe Teknologjisë së Drurit</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Titulli i lëndës:</w:t>
            </w:r>
          </w:p>
        </w:tc>
        <w:tc>
          <w:tcPr>
            <w:tcW w:w="5699" w:type="dxa"/>
            <w:gridSpan w:val="5"/>
          </w:tcPr>
          <w:p w:rsidR="00CE7DC6" w:rsidRPr="00797883" w:rsidRDefault="00CE7DC6" w:rsidP="00FF545B">
            <w:pPr>
              <w:pStyle w:val="NoSpacing"/>
              <w:rPr>
                <w:rFonts w:ascii="Book Antiqua" w:hAnsi="Book Antiqua" w:cs="Calibri"/>
                <w:b/>
                <w:sz w:val="22"/>
                <w:szCs w:val="22"/>
                <w:lang w:val="sq-AL"/>
              </w:rPr>
            </w:pPr>
            <w:r w:rsidRPr="00797883">
              <w:rPr>
                <w:rFonts w:ascii="Book Antiqua" w:hAnsi="Book Antiqua" w:cs="Calibri"/>
                <w:b/>
                <w:sz w:val="22"/>
                <w:szCs w:val="22"/>
                <w:lang w:val="sq-AL"/>
              </w:rPr>
              <w:t xml:space="preserve">Menaxhimi i </w:t>
            </w:r>
            <w:r w:rsidR="00FF545B">
              <w:rPr>
                <w:rFonts w:ascii="Book Antiqua" w:hAnsi="Book Antiqua" w:cs="Calibri"/>
                <w:b/>
                <w:sz w:val="22"/>
                <w:szCs w:val="22"/>
                <w:lang w:val="sq-AL"/>
              </w:rPr>
              <w:t>B</w:t>
            </w:r>
            <w:r w:rsidRPr="00797883">
              <w:rPr>
                <w:rFonts w:ascii="Book Antiqua" w:hAnsi="Book Antiqua" w:cs="Calibri"/>
                <w:b/>
                <w:sz w:val="22"/>
                <w:szCs w:val="22"/>
                <w:lang w:val="sq-AL"/>
              </w:rPr>
              <w:t xml:space="preserve">urimeve </w:t>
            </w:r>
            <w:r w:rsidR="00FF545B">
              <w:rPr>
                <w:rFonts w:ascii="Book Antiqua" w:hAnsi="Book Antiqua" w:cs="Calibri"/>
                <w:b/>
                <w:sz w:val="22"/>
                <w:szCs w:val="22"/>
                <w:lang w:val="sq-AL"/>
              </w:rPr>
              <w:t>Nj</w:t>
            </w:r>
            <w:bookmarkStart w:id="0" w:name="_GoBack"/>
            <w:bookmarkEnd w:id="0"/>
            <w:r w:rsidRPr="00797883">
              <w:rPr>
                <w:rFonts w:ascii="Book Antiqua" w:hAnsi="Book Antiqua" w:cs="Calibri"/>
                <w:b/>
                <w:sz w:val="22"/>
                <w:szCs w:val="22"/>
                <w:lang w:val="sq-AL"/>
              </w:rPr>
              <w:t xml:space="preserve">erëzore  </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Niveli:</w:t>
            </w:r>
          </w:p>
        </w:tc>
        <w:tc>
          <w:tcPr>
            <w:tcW w:w="5699" w:type="dxa"/>
            <w:gridSpan w:val="5"/>
          </w:tcPr>
          <w:p w:rsidR="00CE7DC6" w:rsidRPr="00797883" w:rsidRDefault="00B30962"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Zgjedhore</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Statusi lëndës:</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 xml:space="preserve">Obligative </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Viti i studimeve:</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III</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Numri i orëve në javë:</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4</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Vlera në kredi – ECTS:</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5</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Koha / lokacioni:</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Mësimëdhënësi i lëndës:</w:t>
            </w:r>
          </w:p>
        </w:tc>
        <w:tc>
          <w:tcPr>
            <w:tcW w:w="5699" w:type="dxa"/>
            <w:gridSpan w:val="5"/>
          </w:tcPr>
          <w:p w:rsidR="00CE7DC6" w:rsidRPr="00797883" w:rsidRDefault="00CE7DC6" w:rsidP="00CE7DC6">
            <w:pPr>
              <w:pStyle w:val="NoSpacing"/>
              <w:rPr>
                <w:rFonts w:ascii="Book Antiqua" w:hAnsi="Book Antiqua" w:cs="Calibri"/>
                <w:b/>
                <w:sz w:val="22"/>
                <w:szCs w:val="22"/>
                <w:lang w:val="sq-AL"/>
              </w:rPr>
            </w:pPr>
            <w:r w:rsidRPr="00797883">
              <w:rPr>
                <w:rFonts w:ascii="Book Antiqua" w:hAnsi="Book Antiqua" w:cs="Calibri"/>
                <w:b/>
                <w:sz w:val="22"/>
                <w:szCs w:val="22"/>
                <w:lang w:val="sq-AL"/>
              </w:rPr>
              <w:t>Prof. Ass. Dr. Bislim Lekiqi</w:t>
            </w:r>
          </w:p>
        </w:tc>
      </w:tr>
      <w:tr w:rsidR="00CE7DC6" w:rsidRPr="00797883" w:rsidTr="00A63C2B">
        <w:tc>
          <w:tcPr>
            <w:tcW w:w="3227" w:type="dxa"/>
            <w:vAlign w:val="center"/>
          </w:tcPr>
          <w:p w:rsidR="00CE7DC6" w:rsidRPr="00797883" w:rsidRDefault="00CE7DC6" w:rsidP="00A63C2B">
            <w:pPr>
              <w:rPr>
                <w:rFonts w:ascii="Book Antiqua" w:hAnsi="Book Antiqua" w:cs="Calibri"/>
                <w:b/>
                <w:sz w:val="22"/>
                <w:szCs w:val="22"/>
                <w:lang w:val="sq-AL"/>
              </w:rPr>
            </w:pPr>
            <w:r w:rsidRPr="00797883">
              <w:rPr>
                <w:rFonts w:ascii="Book Antiqua" w:hAnsi="Book Antiqua" w:cs="Calibri"/>
                <w:b/>
                <w:sz w:val="22"/>
                <w:szCs w:val="22"/>
                <w:lang w:val="sq-AL"/>
              </w:rPr>
              <w:t xml:space="preserve">Detajet kontaktuese: </w:t>
            </w:r>
          </w:p>
        </w:tc>
        <w:tc>
          <w:tcPr>
            <w:tcW w:w="5699" w:type="dxa"/>
            <w:gridSpan w:val="5"/>
          </w:tcPr>
          <w:p w:rsidR="00CE7DC6" w:rsidRPr="00797883" w:rsidRDefault="00FA2604" w:rsidP="00CE7DC6">
            <w:pPr>
              <w:pStyle w:val="NoSpacing"/>
              <w:rPr>
                <w:rFonts w:ascii="Book Antiqua" w:hAnsi="Book Antiqua" w:cs="Calibri"/>
                <w:b/>
                <w:sz w:val="22"/>
                <w:szCs w:val="22"/>
                <w:lang w:val="sq-AL"/>
              </w:rPr>
            </w:pPr>
            <w:hyperlink r:id="rId8" w:history="1">
              <w:r w:rsidR="009D7ACA" w:rsidRPr="00797883">
                <w:rPr>
                  <w:rStyle w:val="Hyperlink"/>
                  <w:rFonts w:ascii="Book Antiqua" w:hAnsi="Book Antiqua" w:cs="Calibri"/>
                  <w:b/>
                  <w:sz w:val="22"/>
                  <w:szCs w:val="22"/>
                  <w:lang w:val="sq-AL"/>
                </w:rPr>
                <w:t>bislim.lekiqi@ushaf.net</w:t>
              </w:r>
            </w:hyperlink>
            <w:r w:rsidR="009D7ACA" w:rsidRPr="00797883">
              <w:rPr>
                <w:rFonts w:ascii="Book Antiqua" w:hAnsi="Book Antiqua" w:cs="Calibri"/>
                <w:b/>
                <w:sz w:val="22"/>
                <w:szCs w:val="22"/>
                <w:lang w:val="sq-AL"/>
              </w:rPr>
              <w:t xml:space="preserve"> </w:t>
            </w:r>
          </w:p>
        </w:tc>
      </w:tr>
      <w:tr w:rsidR="00CE7DC6" w:rsidRPr="00797883" w:rsidTr="00D73FF1">
        <w:tc>
          <w:tcPr>
            <w:tcW w:w="8926" w:type="dxa"/>
            <w:gridSpan w:val="6"/>
            <w:shd w:val="clear" w:color="auto" w:fill="D9D9D9"/>
          </w:tcPr>
          <w:p w:rsidR="00CE7DC6" w:rsidRPr="00797883" w:rsidRDefault="00CE7DC6" w:rsidP="00CE7DC6">
            <w:pPr>
              <w:pStyle w:val="NoSpacing"/>
              <w:rPr>
                <w:rFonts w:ascii="Book Antiqua" w:hAnsi="Book Antiqua"/>
                <w:lang w:val="sq-AL"/>
              </w:rPr>
            </w:pP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Përshkrimi i lëndës</w:t>
            </w:r>
          </w:p>
        </w:tc>
        <w:tc>
          <w:tcPr>
            <w:tcW w:w="5670" w:type="dxa"/>
            <w:gridSpan w:val="4"/>
          </w:tcPr>
          <w:p w:rsidR="00CE7DC6" w:rsidRPr="00797883" w:rsidRDefault="00CE7DC6" w:rsidP="00CE7DC6">
            <w:pPr>
              <w:autoSpaceDE w:val="0"/>
              <w:autoSpaceDN w:val="0"/>
              <w:adjustRightInd w:val="0"/>
              <w:jc w:val="both"/>
              <w:rPr>
                <w:rFonts w:ascii="Book Antiqua" w:hAnsi="Book Antiqua"/>
                <w:i/>
                <w:sz w:val="22"/>
                <w:szCs w:val="22"/>
                <w:lang w:val="sq-AL"/>
              </w:rPr>
            </w:pPr>
            <w:r w:rsidRPr="00797883">
              <w:rPr>
                <w:rFonts w:ascii="Book Antiqua" w:hAnsi="Book Antiqua" w:cs="Calibri"/>
                <w:i/>
                <w:sz w:val="22"/>
                <w:szCs w:val="22"/>
                <w:lang w:val="sq-AL"/>
              </w:rPr>
              <w:t xml:space="preserve">Lënda Menaxhimi i burimeve njerëzore, shtjellon si në aspektin teorik ashtu edhe në atë praktik, njohuritë e përgjithshme mbi burimet njerëzore dhe menaxhimin e tyre. Bazuar në faktin se burimet njerëzore janë çelësi i suksesit në biznes, do të fillojmë me analizën e sjelljes së individit në një mjedis organizativ, duke kaluar në analizën e ekipit menaxherial. Pastaj do të trajtohen temat që përfshinë  komunikimin, trajnimin, zgjedhjen, motivimin, vlerësimin dhe pagesën e burimeve njerëzore. Në vazhdimësi do të trajtohen temat që përshinë fushën e sigurimeve, marrëdhënien e punës, etikën dhe të ardhmen e MBNJ. Në fund do të trajtohet </w:t>
            </w:r>
            <w:r w:rsidR="004703CC" w:rsidRPr="00797883">
              <w:rPr>
                <w:rFonts w:ascii="Book Antiqua" w:hAnsi="Book Antiqua" w:cs="Calibri"/>
                <w:i/>
                <w:sz w:val="22"/>
                <w:szCs w:val="22"/>
                <w:lang w:val="sq-AL"/>
              </w:rPr>
              <w:t>Menaxhmenti i qëndrueshëm i burimeve njerëzore në konkurrencën globale.</w:t>
            </w: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Qëllimet e lëndës:</w:t>
            </w:r>
          </w:p>
        </w:tc>
        <w:tc>
          <w:tcPr>
            <w:tcW w:w="5670" w:type="dxa"/>
            <w:gridSpan w:val="4"/>
          </w:tcPr>
          <w:p w:rsidR="00CE7DC6" w:rsidRPr="00797883" w:rsidRDefault="00CE7DC6" w:rsidP="00CE7DC6">
            <w:pPr>
              <w:pStyle w:val="ListParagraph"/>
              <w:numPr>
                <w:ilvl w:val="0"/>
                <w:numId w:val="10"/>
              </w:numPr>
              <w:autoSpaceDE w:val="0"/>
              <w:autoSpaceDN w:val="0"/>
              <w:adjustRightInd w:val="0"/>
              <w:jc w:val="both"/>
              <w:rPr>
                <w:rFonts w:ascii="Book Antiqua" w:hAnsi="Book Antiqua" w:cs="Calibri"/>
                <w:i/>
                <w:sz w:val="22"/>
                <w:szCs w:val="22"/>
                <w:lang w:val="sq-AL"/>
              </w:rPr>
            </w:pPr>
            <w:r w:rsidRPr="00797883">
              <w:rPr>
                <w:rFonts w:ascii="Book Antiqua" w:hAnsi="Book Antiqua" w:cs="Calibri"/>
                <w:i/>
                <w:sz w:val="22"/>
                <w:szCs w:val="22"/>
                <w:lang w:val="sq-AL"/>
              </w:rPr>
              <w:t>Studentët të marrin njohuri të reja të natyrës teorike dhe praktike nga fusha e Menaxhimit të Burimeve Njerëzore;</w:t>
            </w:r>
          </w:p>
          <w:p w:rsidR="00CE7DC6" w:rsidRPr="00797883" w:rsidRDefault="00CE7DC6" w:rsidP="00CE7DC6">
            <w:pPr>
              <w:pStyle w:val="ListParagraph"/>
              <w:numPr>
                <w:ilvl w:val="0"/>
                <w:numId w:val="10"/>
              </w:numPr>
              <w:autoSpaceDE w:val="0"/>
              <w:autoSpaceDN w:val="0"/>
              <w:adjustRightInd w:val="0"/>
              <w:jc w:val="both"/>
              <w:rPr>
                <w:rFonts w:ascii="Book Antiqua" w:hAnsi="Book Antiqua" w:cs="Calibri"/>
                <w:i/>
                <w:sz w:val="22"/>
                <w:szCs w:val="22"/>
                <w:lang w:val="sq-AL"/>
              </w:rPr>
            </w:pPr>
            <w:r w:rsidRPr="00797883">
              <w:rPr>
                <w:rFonts w:ascii="Book Antiqua" w:hAnsi="Book Antiqua" w:cs="Calibri"/>
                <w:i/>
                <w:sz w:val="22"/>
                <w:szCs w:val="22"/>
                <w:lang w:val="sq-AL"/>
              </w:rPr>
              <w:t>Studentët të kuptojnë pse është e nevojshme menaxhimi i burimeve njerëzore :</w:t>
            </w:r>
          </w:p>
          <w:p w:rsidR="00CE7DC6" w:rsidRPr="00797883" w:rsidRDefault="00CE7DC6" w:rsidP="00CE7DC6">
            <w:pPr>
              <w:pStyle w:val="ListParagraph"/>
              <w:numPr>
                <w:ilvl w:val="0"/>
                <w:numId w:val="10"/>
              </w:numPr>
              <w:autoSpaceDE w:val="0"/>
              <w:autoSpaceDN w:val="0"/>
              <w:adjustRightInd w:val="0"/>
              <w:jc w:val="both"/>
              <w:rPr>
                <w:rFonts w:ascii="Book Antiqua" w:hAnsi="Book Antiqua"/>
                <w:lang w:val="sq-AL"/>
              </w:rPr>
            </w:pPr>
            <w:r w:rsidRPr="00797883">
              <w:rPr>
                <w:rFonts w:ascii="Book Antiqua" w:hAnsi="Book Antiqua" w:cs="Calibri"/>
                <w:i/>
                <w:sz w:val="22"/>
                <w:szCs w:val="22"/>
                <w:lang w:val="sq-AL"/>
              </w:rPr>
              <w:t>Studentët të fitojnë njohuritë për planifikimin, rekruti</w:t>
            </w:r>
            <w:r w:rsidR="009D7ACA" w:rsidRPr="00797883">
              <w:rPr>
                <w:rFonts w:ascii="Book Antiqua" w:hAnsi="Book Antiqua" w:cs="Calibri"/>
                <w:i/>
                <w:sz w:val="22"/>
                <w:szCs w:val="22"/>
                <w:lang w:val="sq-AL"/>
              </w:rPr>
              <w:t xml:space="preserve">min, seleksionimin, motivimin, </w:t>
            </w:r>
            <w:r w:rsidRPr="00797883">
              <w:rPr>
                <w:rFonts w:ascii="Book Antiqua" w:hAnsi="Book Antiqua" w:cs="Calibri"/>
                <w:i/>
                <w:sz w:val="22"/>
                <w:szCs w:val="22"/>
                <w:lang w:val="sq-AL"/>
              </w:rPr>
              <w:t>komunikimin, zhvillimin, vlerësimin e performancës etj.</w:t>
            </w:r>
            <w:r w:rsidRPr="00797883">
              <w:rPr>
                <w:rFonts w:ascii="Book Antiqua" w:hAnsi="Book Antiqua"/>
                <w:lang w:val="sq-AL"/>
              </w:rPr>
              <w:t xml:space="preserve"> </w:t>
            </w:r>
          </w:p>
        </w:tc>
      </w:tr>
      <w:tr w:rsidR="00CE7DC6" w:rsidRPr="00797883" w:rsidTr="00CE7DC6">
        <w:tc>
          <w:tcPr>
            <w:tcW w:w="3256" w:type="dxa"/>
            <w:gridSpan w:val="2"/>
          </w:tcPr>
          <w:p w:rsidR="00CE7DC6" w:rsidRPr="00797883" w:rsidRDefault="00CE7DC6" w:rsidP="00CE7DC6">
            <w:pPr>
              <w:rPr>
                <w:rFonts w:ascii="Book Antiqua" w:hAnsi="Book Antiqua"/>
                <w:b/>
                <w:lang w:val="sq-AL"/>
              </w:rPr>
            </w:pPr>
            <w:r w:rsidRPr="00797883">
              <w:rPr>
                <w:rFonts w:ascii="Book Antiqua" w:hAnsi="Book Antiqua" w:cs="Calibri"/>
                <w:b/>
                <w:sz w:val="22"/>
                <w:szCs w:val="22"/>
                <w:lang w:val="sq-AL"/>
              </w:rPr>
              <w:t>Rezultatet e pritura të nxënies:</w:t>
            </w:r>
          </w:p>
        </w:tc>
        <w:tc>
          <w:tcPr>
            <w:tcW w:w="5670" w:type="dxa"/>
            <w:gridSpan w:val="4"/>
          </w:tcPr>
          <w:p w:rsidR="00CE7DC6" w:rsidRPr="00797883" w:rsidRDefault="00CE7DC6" w:rsidP="00CE7DC6">
            <w:pPr>
              <w:autoSpaceDE w:val="0"/>
              <w:autoSpaceDN w:val="0"/>
              <w:adjustRightInd w:val="0"/>
              <w:jc w:val="both"/>
              <w:rPr>
                <w:rFonts w:ascii="Book Antiqua" w:hAnsi="Book Antiqua"/>
                <w:sz w:val="22"/>
                <w:szCs w:val="22"/>
                <w:lang w:val="sq-AL"/>
              </w:rPr>
            </w:pPr>
            <w:r w:rsidRPr="00797883">
              <w:rPr>
                <w:rFonts w:ascii="Book Antiqua" w:hAnsi="Book Antiqua" w:cs="Calibri"/>
                <w:i/>
                <w:sz w:val="22"/>
                <w:szCs w:val="22"/>
                <w:lang w:val="sq-AL"/>
              </w:rPr>
              <w:t>Në mbarim të mësuarit të lëndës, studentët duhet të jenë të aftë të kuptojnë se menaxhimi i burimeve njerëzore është një proces për sigurimin e njerëzve të duhur në vendin e duhur dhe në kohën e duhur.</w:t>
            </w:r>
            <w:r w:rsidRPr="00797883">
              <w:rPr>
                <w:rFonts w:ascii="Book Antiqua" w:hAnsi="Book Antiqua"/>
                <w:lang w:val="sq-AL"/>
              </w:rPr>
              <w:t xml:space="preserve"> </w:t>
            </w:r>
          </w:p>
        </w:tc>
      </w:tr>
      <w:tr w:rsidR="00CE7DC6" w:rsidRPr="00797883" w:rsidTr="00D73FF1">
        <w:tc>
          <w:tcPr>
            <w:tcW w:w="8926" w:type="dxa"/>
            <w:gridSpan w:val="6"/>
            <w:shd w:val="clear" w:color="auto" w:fill="D9D9D9"/>
          </w:tcPr>
          <w:p w:rsidR="00CE7DC6" w:rsidRPr="00797883" w:rsidRDefault="00CE7DC6" w:rsidP="00CE7DC6">
            <w:pPr>
              <w:pStyle w:val="NoSpacing"/>
              <w:rPr>
                <w:rFonts w:ascii="Book Antiqua" w:hAnsi="Book Antiqua"/>
                <w:i/>
                <w:sz w:val="22"/>
                <w:szCs w:val="22"/>
                <w:lang w:val="sq-AL"/>
              </w:rPr>
            </w:pPr>
          </w:p>
        </w:tc>
      </w:tr>
      <w:tr w:rsidR="00CE7DC6" w:rsidRPr="00797883" w:rsidTr="00D73FF1">
        <w:tc>
          <w:tcPr>
            <w:tcW w:w="8926" w:type="dxa"/>
            <w:gridSpan w:val="6"/>
            <w:shd w:val="clear" w:color="auto" w:fill="D9D9D9"/>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Kontributi nё ngarkesën e studentit (gjё qё duhet tё korrespondoj me rezultatet e tё nxënit tё studentit)</w:t>
            </w:r>
          </w:p>
        </w:tc>
      </w:tr>
      <w:tr w:rsidR="00CE7DC6" w:rsidRPr="00797883" w:rsidTr="008C59A2">
        <w:tc>
          <w:tcPr>
            <w:tcW w:w="5665" w:type="dxa"/>
            <w:gridSpan w:val="3"/>
            <w:tcBorders>
              <w:right w:val="single" w:sz="4" w:space="0" w:color="auto"/>
            </w:tcBorders>
            <w:shd w:val="clear" w:color="auto" w:fill="D9D9D9"/>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Aktiviteti </w:t>
            </w:r>
          </w:p>
        </w:tc>
        <w:tc>
          <w:tcPr>
            <w:tcW w:w="1134" w:type="dxa"/>
            <w:tcBorders>
              <w:left w:val="single" w:sz="4" w:space="0" w:color="auto"/>
              <w:right w:val="single" w:sz="4" w:space="0" w:color="auto"/>
            </w:tcBorders>
            <w:shd w:val="clear" w:color="auto" w:fill="D9D9D9"/>
          </w:tcPr>
          <w:p w:rsidR="00CE7DC6" w:rsidRPr="00797883" w:rsidRDefault="00CE7DC6" w:rsidP="00CE7DC6">
            <w:pPr>
              <w:jc w:val="center"/>
              <w:rPr>
                <w:rFonts w:ascii="Book Antiqua" w:hAnsi="Book Antiqua" w:cs="Calibri"/>
                <w:b/>
                <w:sz w:val="22"/>
                <w:szCs w:val="22"/>
                <w:lang w:val="sq-AL"/>
              </w:rPr>
            </w:pPr>
            <w:r w:rsidRPr="00797883">
              <w:rPr>
                <w:rFonts w:ascii="Book Antiqua" w:hAnsi="Book Antiqua" w:cs="Calibri"/>
                <w:b/>
                <w:sz w:val="22"/>
                <w:szCs w:val="22"/>
                <w:lang w:val="sq-AL"/>
              </w:rPr>
              <w:t>Orë</w:t>
            </w:r>
          </w:p>
        </w:tc>
        <w:tc>
          <w:tcPr>
            <w:tcW w:w="1134" w:type="dxa"/>
            <w:tcBorders>
              <w:left w:val="single" w:sz="4" w:space="0" w:color="auto"/>
              <w:right w:val="single" w:sz="4" w:space="0" w:color="auto"/>
            </w:tcBorders>
            <w:shd w:val="clear" w:color="auto" w:fill="D9D9D9"/>
          </w:tcPr>
          <w:p w:rsidR="00CE7DC6" w:rsidRPr="00797883" w:rsidRDefault="00CE7DC6" w:rsidP="00CE7DC6">
            <w:pPr>
              <w:jc w:val="center"/>
              <w:rPr>
                <w:rFonts w:ascii="Book Antiqua" w:hAnsi="Book Antiqua" w:cs="Calibri"/>
                <w:b/>
                <w:sz w:val="22"/>
                <w:szCs w:val="22"/>
                <w:lang w:val="sq-AL"/>
              </w:rPr>
            </w:pPr>
            <w:r w:rsidRPr="00797883">
              <w:rPr>
                <w:rFonts w:ascii="Book Antiqua" w:hAnsi="Book Antiqua" w:cs="Calibri"/>
                <w:b/>
                <w:sz w:val="22"/>
                <w:szCs w:val="22"/>
                <w:lang w:val="sq-AL"/>
              </w:rPr>
              <w:t>Ditë/javë</w:t>
            </w:r>
          </w:p>
        </w:tc>
        <w:tc>
          <w:tcPr>
            <w:tcW w:w="993" w:type="dxa"/>
            <w:tcBorders>
              <w:left w:val="single" w:sz="4" w:space="0" w:color="auto"/>
            </w:tcBorders>
            <w:shd w:val="clear" w:color="auto" w:fill="D9D9D9"/>
          </w:tcPr>
          <w:p w:rsidR="00CE7DC6" w:rsidRPr="00797883" w:rsidRDefault="00CE7DC6" w:rsidP="00CE7DC6">
            <w:pPr>
              <w:jc w:val="center"/>
              <w:rPr>
                <w:rFonts w:ascii="Book Antiqua" w:hAnsi="Book Antiqua" w:cs="Calibri"/>
                <w:b/>
                <w:sz w:val="22"/>
                <w:szCs w:val="22"/>
                <w:lang w:val="sq-AL"/>
              </w:rPr>
            </w:pPr>
            <w:r w:rsidRPr="00797883">
              <w:rPr>
                <w:rFonts w:ascii="Book Antiqua" w:hAnsi="Book Antiqua" w:cs="Calibri"/>
                <w:b/>
                <w:sz w:val="22"/>
                <w:szCs w:val="22"/>
                <w:lang w:val="sq-AL"/>
              </w:rPr>
              <w:t>Gjithsej</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Ligjërata</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15</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30</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Ushtrime teorike/laboratorike</w:t>
            </w:r>
          </w:p>
        </w:tc>
        <w:tc>
          <w:tcPr>
            <w:tcW w:w="1134" w:type="dxa"/>
            <w:tcBorders>
              <w:left w:val="single" w:sz="4" w:space="0" w:color="auto"/>
              <w:right w:val="single" w:sz="4" w:space="0" w:color="auto"/>
            </w:tcBorders>
            <w:shd w:val="clear" w:color="auto" w:fill="auto"/>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15</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30</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Punë praktike</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4</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Kontaktet me mësimdhënësin/konsultimet</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5</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5</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lastRenderedPageBreak/>
              <w:t>Ushtrime  në teren</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Kollokfiume</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Punim seminarik</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3</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6</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Detyra të  shtëpisë</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3</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3</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Koha e studimit vetanak të studentit (në bibliotekë ose në shtëpi)</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25</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Përgatitja përfundimtare për provim</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6</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12</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Koha e kaluar në vlerësim (teste,kuiz,provim final)</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1</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4</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4</w:t>
            </w:r>
          </w:p>
        </w:tc>
      </w:tr>
      <w:tr w:rsidR="00CE7DC6" w:rsidRPr="00797883" w:rsidTr="008C59A2">
        <w:tc>
          <w:tcPr>
            <w:tcW w:w="5665" w:type="dxa"/>
            <w:gridSpan w:val="3"/>
            <w:tcBorders>
              <w:right w:val="single" w:sz="4" w:space="0" w:color="auto"/>
            </w:tcBorders>
            <w:shd w:val="clear" w:color="auto" w:fill="FFFFFF"/>
          </w:tcPr>
          <w:p w:rsidR="00CE7DC6" w:rsidRPr="00797883" w:rsidRDefault="00CE7DC6" w:rsidP="00CE7DC6">
            <w:pPr>
              <w:rPr>
                <w:rFonts w:ascii="Book Antiqua" w:hAnsi="Book Antiqua" w:cs="Calibri"/>
                <w:sz w:val="22"/>
                <w:szCs w:val="22"/>
                <w:lang w:val="sq-AL"/>
              </w:rPr>
            </w:pPr>
            <w:r w:rsidRPr="00797883">
              <w:rPr>
                <w:rFonts w:ascii="Book Antiqua" w:hAnsi="Book Antiqua" w:cs="Calibri"/>
                <w:sz w:val="22"/>
                <w:szCs w:val="22"/>
                <w:lang w:val="sq-AL"/>
              </w:rPr>
              <w:t>Projektet, prezentimet ,etj</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1134" w:type="dxa"/>
            <w:tcBorders>
              <w:left w:val="single" w:sz="4" w:space="0" w:color="auto"/>
              <w:righ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2</w:t>
            </w:r>
          </w:p>
        </w:tc>
        <w:tc>
          <w:tcPr>
            <w:tcW w:w="993" w:type="dxa"/>
            <w:tcBorders>
              <w:left w:val="single" w:sz="4" w:space="0" w:color="auto"/>
            </w:tcBorders>
            <w:shd w:val="clear" w:color="auto" w:fill="FFFFFF"/>
          </w:tcPr>
          <w:p w:rsidR="00CE7DC6" w:rsidRPr="00797883" w:rsidRDefault="00CE7DC6" w:rsidP="00CE7DC6">
            <w:pPr>
              <w:jc w:val="right"/>
              <w:rPr>
                <w:rFonts w:ascii="Book Antiqua" w:hAnsi="Book Antiqua" w:cs="Calibri"/>
                <w:sz w:val="22"/>
                <w:szCs w:val="22"/>
                <w:lang w:val="sq-AL"/>
              </w:rPr>
            </w:pPr>
            <w:r w:rsidRPr="00797883">
              <w:rPr>
                <w:rFonts w:ascii="Book Antiqua" w:hAnsi="Book Antiqua" w:cs="Calibri"/>
                <w:sz w:val="22"/>
                <w:szCs w:val="22"/>
                <w:lang w:val="sq-AL"/>
              </w:rPr>
              <w:t>4</w:t>
            </w:r>
          </w:p>
        </w:tc>
      </w:tr>
      <w:tr w:rsidR="00CE7DC6" w:rsidRPr="00797883" w:rsidTr="008C59A2">
        <w:tc>
          <w:tcPr>
            <w:tcW w:w="5665" w:type="dxa"/>
            <w:gridSpan w:val="3"/>
            <w:tcBorders>
              <w:right w:val="single" w:sz="4" w:space="0" w:color="auto"/>
            </w:tcBorders>
            <w:shd w:val="clear" w:color="auto" w:fill="D9D9D9"/>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Totali </w:t>
            </w:r>
          </w:p>
        </w:tc>
        <w:tc>
          <w:tcPr>
            <w:tcW w:w="1134" w:type="dxa"/>
            <w:tcBorders>
              <w:left w:val="single" w:sz="4" w:space="0" w:color="auto"/>
              <w:right w:val="single" w:sz="4" w:space="0" w:color="auto"/>
            </w:tcBorders>
            <w:shd w:val="clear" w:color="auto" w:fill="D9D9D9"/>
          </w:tcPr>
          <w:p w:rsidR="00CE7DC6" w:rsidRPr="00797883" w:rsidRDefault="00CE7DC6" w:rsidP="00CE7DC6">
            <w:pPr>
              <w:jc w:val="center"/>
              <w:rPr>
                <w:rFonts w:ascii="Book Antiqua" w:hAnsi="Book Antiqua" w:cs="Calibri"/>
                <w:b/>
                <w:sz w:val="22"/>
                <w:szCs w:val="22"/>
                <w:lang w:val="sq-AL"/>
              </w:rPr>
            </w:pPr>
          </w:p>
        </w:tc>
        <w:tc>
          <w:tcPr>
            <w:tcW w:w="1134" w:type="dxa"/>
            <w:tcBorders>
              <w:left w:val="single" w:sz="4" w:space="0" w:color="auto"/>
              <w:right w:val="single" w:sz="4" w:space="0" w:color="auto"/>
            </w:tcBorders>
            <w:shd w:val="clear" w:color="auto" w:fill="D9D9D9"/>
          </w:tcPr>
          <w:p w:rsidR="00CE7DC6" w:rsidRPr="00797883" w:rsidRDefault="00CE7DC6" w:rsidP="00CE7DC6">
            <w:pPr>
              <w:jc w:val="center"/>
              <w:rPr>
                <w:rFonts w:ascii="Book Antiqua" w:hAnsi="Book Antiqua" w:cs="Calibri"/>
                <w:b/>
                <w:sz w:val="22"/>
                <w:szCs w:val="22"/>
                <w:lang w:val="sq-AL"/>
              </w:rPr>
            </w:pPr>
          </w:p>
        </w:tc>
        <w:tc>
          <w:tcPr>
            <w:tcW w:w="993" w:type="dxa"/>
            <w:tcBorders>
              <w:left w:val="single" w:sz="4" w:space="0" w:color="auto"/>
            </w:tcBorders>
            <w:shd w:val="clear" w:color="auto" w:fill="D9D9D9"/>
          </w:tcPr>
          <w:p w:rsidR="00CE7DC6" w:rsidRPr="00797883" w:rsidRDefault="00CE7DC6" w:rsidP="00CE7DC6">
            <w:pPr>
              <w:jc w:val="right"/>
              <w:rPr>
                <w:rFonts w:ascii="Book Antiqua" w:hAnsi="Book Antiqua" w:cs="Calibri"/>
                <w:b/>
                <w:sz w:val="22"/>
                <w:szCs w:val="22"/>
                <w:lang w:val="sq-AL"/>
              </w:rPr>
            </w:pPr>
            <w:r w:rsidRPr="00797883">
              <w:rPr>
                <w:rFonts w:ascii="Book Antiqua" w:hAnsi="Book Antiqua" w:cs="Calibri"/>
                <w:b/>
                <w:sz w:val="22"/>
                <w:szCs w:val="22"/>
                <w:lang w:val="sq-AL"/>
              </w:rPr>
              <w:t>125</w:t>
            </w:r>
          </w:p>
        </w:tc>
      </w:tr>
      <w:tr w:rsidR="00CE7DC6" w:rsidRPr="00797883" w:rsidTr="00D73FF1">
        <w:tc>
          <w:tcPr>
            <w:tcW w:w="8926" w:type="dxa"/>
            <w:gridSpan w:val="6"/>
            <w:shd w:val="clear" w:color="auto" w:fill="D9D9D9"/>
          </w:tcPr>
          <w:p w:rsidR="00CE7DC6" w:rsidRPr="00797883" w:rsidRDefault="00CE7DC6" w:rsidP="00CE7DC6">
            <w:pPr>
              <w:rPr>
                <w:rFonts w:ascii="Book Antiqua" w:hAnsi="Book Antiqua"/>
                <w:b/>
                <w:lang w:val="sq-AL"/>
              </w:rPr>
            </w:pP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Metodologjia e mësimdhënies:  </w:t>
            </w:r>
          </w:p>
        </w:tc>
        <w:tc>
          <w:tcPr>
            <w:tcW w:w="5670" w:type="dxa"/>
            <w:gridSpan w:val="4"/>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Mësimdhënia do të zhvillohet përmes ligjëratës, shembujve praktikë, interpretimeve individuale e grupore, punimit të seminareve, vlerësimeve periodike, etj. Të gjitha këto do të realizohet në aspektin teorik dhe praktik duke i prezantuar materialet në formën audio-vizuale përmes teknologjisë elektronike me programet e Windows Office. </w:t>
            </w:r>
          </w:p>
          <w:p w:rsidR="00CE7DC6" w:rsidRPr="00797883" w:rsidRDefault="00CE7DC6" w:rsidP="00CE7DC6">
            <w:pPr>
              <w:pStyle w:val="NoSpacing"/>
              <w:rPr>
                <w:rFonts w:ascii="Book Antiqua" w:hAnsi="Book Antiqua"/>
                <w:b/>
                <w:i/>
                <w:lang w:val="sq-AL"/>
              </w:rPr>
            </w:pPr>
            <w:r w:rsidRPr="00797883">
              <w:rPr>
                <w:rFonts w:ascii="Book Antiqua" w:hAnsi="Book Antiqua" w:cs="Calibri"/>
                <w:i/>
                <w:sz w:val="22"/>
                <w:szCs w:val="22"/>
                <w:lang w:val="sq-AL"/>
              </w:rPr>
              <w:t>Në aspektin teorik do të ofrohen njohuri të përgjithshme shkencore, bazuar në literaturën bashkëkohore. Pjesa praktike kryesisht do të realizohet përmes shembujve konkret nga literatura dhe nga njohuritë praktike te ndërmarrjet prodhuese private e publike dhe te organizatat jofitim prurëse. Në këtë mënyrë do të synohet krijimi i raporteve ndër-vepruese profesor–student si dhe ai student-student.</w:t>
            </w:r>
            <w:r w:rsidRPr="00797883">
              <w:rPr>
                <w:rFonts w:ascii="Book Antiqua" w:hAnsi="Book Antiqua"/>
                <w:lang w:val="sq-AL"/>
              </w:rPr>
              <w:t xml:space="preserve">  </w:t>
            </w: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Metodat e vlerësimit:</w:t>
            </w:r>
          </w:p>
        </w:tc>
        <w:tc>
          <w:tcPr>
            <w:tcW w:w="5670" w:type="dxa"/>
            <w:gridSpan w:val="4"/>
          </w:tcPr>
          <w:tbl>
            <w:tblPr>
              <w:tblW w:w="6119" w:type="dxa"/>
              <w:tblLayout w:type="fixed"/>
              <w:tblCellMar>
                <w:left w:w="0" w:type="dxa"/>
                <w:right w:w="0" w:type="dxa"/>
              </w:tblCellMar>
              <w:tblLook w:val="04A0" w:firstRow="1" w:lastRow="0" w:firstColumn="1" w:lastColumn="0" w:noHBand="0" w:noVBand="1"/>
            </w:tblPr>
            <w:tblGrid>
              <w:gridCol w:w="4135"/>
              <w:gridCol w:w="1984"/>
            </w:tblGrid>
            <w:tr w:rsidR="00CE7DC6" w:rsidRPr="00797883" w:rsidTr="002B15AB">
              <w:trPr>
                <w:trHeight w:val="159"/>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Prezenca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0-10 pikë </w:t>
                  </w:r>
                </w:p>
              </w:tc>
            </w:tr>
            <w:tr w:rsidR="00CE7DC6" w:rsidRPr="00797883" w:rsidTr="002B15AB">
              <w:trPr>
                <w:trHeight w:val="147"/>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Angazhimi në ligjërata dhe ushtrime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0-10 pikë </w:t>
                  </w:r>
                </w:p>
              </w:tc>
            </w:tr>
            <w:tr w:rsidR="00CE7DC6" w:rsidRPr="00797883" w:rsidTr="002B15AB">
              <w:trPr>
                <w:trHeight w:val="19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Testi 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0-35 pikë </w:t>
                  </w:r>
                </w:p>
              </w:tc>
            </w:tr>
            <w:tr w:rsidR="00CE7DC6" w:rsidRPr="00797883" w:rsidTr="002B15AB">
              <w:trPr>
                <w:trHeight w:val="14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Testi II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0-35 pikë </w:t>
                  </w:r>
                </w:p>
              </w:tc>
            </w:tr>
            <w:tr w:rsidR="00CE7DC6" w:rsidRPr="00797883" w:rsidTr="002B15AB">
              <w:trPr>
                <w:trHeight w:val="195"/>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Punimi seminarik</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0-10 pikë </w:t>
                  </w:r>
                </w:p>
              </w:tc>
            </w:tr>
            <w:tr w:rsidR="00CE7DC6" w:rsidRPr="00797883" w:rsidTr="002B15AB">
              <w:trPr>
                <w:trHeight w:val="18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Provimi</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95" w:type="dxa"/>
                    <w:bottom w:w="0" w:type="dxa"/>
                    <w:right w:w="95" w:type="dxa"/>
                  </w:tcMar>
                  <w:vAlign w:val="center"/>
                  <w:hideMark/>
                </w:tcPr>
                <w:p w:rsidR="00CE7DC6" w:rsidRPr="00797883" w:rsidRDefault="00CE7DC6" w:rsidP="00CE7DC6">
                  <w:pPr>
                    <w:pStyle w:val="NoSpacing"/>
                    <w:rPr>
                      <w:rFonts w:ascii="Book Antiqua" w:hAnsi="Book Antiqua" w:cs="Calibri"/>
                      <w:i/>
                      <w:sz w:val="22"/>
                      <w:szCs w:val="22"/>
                      <w:lang w:val="sq-AL"/>
                    </w:rPr>
                  </w:pPr>
                  <w:r w:rsidRPr="00797883">
                    <w:rPr>
                      <w:rFonts w:ascii="Book Antiqua" w:hAnsi="Book Antiqua" w:cs="Calibri"/>
                      <w:i/>
                      <w:sz w:val="22"/>
                      <w:szCs w:val="22"/>
                      <w:lang w:val="sq-AL"/>
                    </w:rPr>
                    <w:t xml:space="preserve">0-60 pikë </w:t>
                  </w:r>
                </w:p>
              </w:tc>
            </w:tr>
          </w:tbl>
          <w:p w:rsidR="00CE7DC6" w:rsidRPr="00797883" w:rsidRDefault="00CE7DC6" w:rsidP="00CE7DC6">
            <w:pPr>
              <w:rPr>
                <w:rFonts w:ascii="Book Antiqua" w:hAnsi="Book Antiqua" w:cs="Calibri"/>
                <w:i/>
                <w:sz w:val="22"/>
                <w:szCs w:val="22"/>
                <w:lang w:val="sq-AL"/>
              </w:rPr>
            </w:pPr>
            <w:r w:rsidRPr="00797883">
              <w:rPr>
                <w:rFonts w:ascii="Book Antiqua" w:hAnsi="Book Antiqua" w:cs="Calibri"/>
                <w:i/>
                <w:sz w:val="22"/>
                <w:szCs w:val="22"/>
                <w:lang w:val="sq-AL"/>
              </w:rPr>
              <w:t>Tes</w:t>
            </w:r>
            <w:r w:rsidR="009D7ACA" w:rsidRPr="00797883">
              <w:rPr>
                <w:rFonts w:ascii="Book Antiqua" w:hAnsi="Book Antiqua" w:cs="Calibri"/>
                <w:i/>
                <w:sz w:val="22"/>
                <w:szCs w:val="22"/>
                <w:lang w:val="sq-AL"/>
              </w:rPr>
              <w:t>t</w:t>
            </w:r>
            <w:r w:rsidRPr="00797883">
              <w:rPr>
                <w:rFonts w:ascii="Book Antiqua" w:hAnsi="Book Antiqua" w:cs="Calibri"/>
                <w:i/>
                <w:sz w:val="22"/>
                <w:szCs w:val="22"/>
                <w:lang w:val="sq-AL"/>
              </w:rPr>
              <w:t>et I dhe II janë teste me shkrim me ndarje proporcionale të pyetjeve sipas ligjëratave, ku do të jenë nga 10 pyetje, nga të cilat do të ketë pyetje të hapura, pyetje të mbyllura dhe gjysmë të hapura.</w:t>
            </w:r>
          </w:p>
          <w:p w:rsidR="00CE7DC6" w:rsidRPr="00797883" w:rsidRDefault="00CE7DC6" w:rsidP="00CE7DC6">
            <w:pPr>
              <w:rPr>
                <w:rFonts w:ascii="Book Antiqua" w:hAnsi="Book Antiqua" w:cs="Calibri"/>
                <w:i/>
                <w:sz w:val="22"/>
                <w:szCs w:val="22"/>
                <w:lang w:val="sq-AL"/>
              </w:rPr>
            </w:pPr>
            <w:r w:rsidRPr="00797883">
              <w:rPr>
                <w:rFonts w:ascii="Book Antiqua" w:hAnsi="Book Antiqua" w:cs="Calibri"/>
                <w:i/>
                <w:sz w:val="22"/>
                <w:szCs w:val="22"/>
                <w:lang w:val="sq-AL"/>
              </w:rPr>
              <w:t xml:space="preserve">Provimi </w:t>
            </w:r>
            <w:r w:rsidR="009D7ACA" w:rsidRPr="00797883">
              <w:rPr>
                <w:rFonts w:ascii="Book Antiqua" w:hAnsi="Book Antiqua" w:cs="Calibri"/>
                <w:i/>
                <w:sz w:val="22"/>
                <w:szCs w:val="22"/>
                <w:lang w:val="sq-AL"/>
              </w:rPr>
              <w:t>ka</w:t>
            </w:r>
            <w:r w:rsidRPr="00797883">
              <w:rPr>
                <w:rFonts w:ascii="Book Antiqua" w:hAnsi="Book Antiqua" w:cs="Calibri"/>
                <w:i/>
                <w:sz w:val="22"/>
                <w:szCs w:val="22"/>
                <w:lang w:val="sq-AL"/>
              </w:rPr>
              <w:t xml:space="preserve"> 20 (18 +2) pyetje me ndarje proporcionale të pyetjeve sipas ligjëratave, nga të cilat do të ketë pyetje të hapura, pyetje të mbyllura dhe gjysmë të hapura. Vlerësimi bëhet për 18 pyetje, kurse </w:t>
            </w:r>
            <w:r w:rsidR="003034AE" w:rsidRPr="00797883">
              <w:rPr>
                <w:rFonts w:ascii="Book Antiqua" w:hAnsi="Book Antiqua" w:cs="Calibri"/>
                <w:i/>
                <w:sz w:val="22"/>
                <w:szCs w:val="22"/>
                <w:lang w:val="sq-AL"/>
              </w:rPr>
              <w:t>dy pyetje shtesë janë mundësi për zëvendësim.</w:t>
            </w:r>
          </w:p>
          <w:p w:rsidR="00CE7DC6" w:rsidRPr="00797883" w:rsidRDefault="00CE7DC6" w:rsidP="00CE7DC6">
            <w:pPr>
              <w:rPr>
                <w:rFonts w:ascii="Book Antiqua" w:hAnsi="Book Antiqua" w:cs="Calibri"/>
                <w:i/>
                <w:sz w:val="22"/>
                <w:szCs w:val="22"/>
                <w:lang w:val="sq-AL"/>
              </w:rPr>
            </w:pPr>
            <w:r w:rsidRPr="00797883">
              <w:rPr>
                <w:rFonts w:ascii="Book Antiqua" w:hAnsi="Book Antiqua" w:cs="Calibri"/>
                <w:i/>
                <w:sz w:val="22"/>
                <w:szCs w:val="22"/>
                <w:lang w:val="sq-AL"/>
              </w:rPr>
              <w:t>Pikët nga prezenca, angazhimi dhe punimi seminarik barten.</w:t>
            </w:r>
          </w:p>
        </w:tc>
      </w:tr>
      <w:tr w:rsidR="00CE7DC6" w:rsidRPr="00797883" w:rsidTr="00D73FF1">
        <w:tc>
          <w:tcPr>
            <w:tcW w:w="8926" w:type="dxa"/>
            <w:gridSpan w:val="6"/>
            <w:shd w:val="clear" w:color="auto" w:fill="D9D9D9"/>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Literatura </w:t>
            </w: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Literatura bazë:  </w:t>
            </w:r>
          </w:p>
        </w:tc>
        <w:tc>
          <w:tcPr>
            <w:tcW w:w="5670" w:type="dxa"/>
            <w:gridSpan w:val="4"/>
          </w:tcPr>
          <w:p w:rsidR="00CE7DC6" w:rsidRPr="00797883" w:rsidRDefault="00CE7DC6" w:rsidP="00CE7DC6">
            <w:pPr>
              <w:pStyle w:val="Defaul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 xml:space="preserve">Canco G., (2014), Menaxhimi i Burimeve Njerëzore, Tiranë </w:t>
            </w:r>
          </w:p>
          <w:p w:rsidR="00CE7DC6" w:rsidRPr="00797883" w:rsidRDefault="00CE7DC6" w:rsidP="00CE7DC6">
            <w:pPr>
              <w:pStyle w:val="BodyTex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Canco G., (2007),  Menaxhimi i Burimeve Njerëzore</w:t>
            </w:r>
            <w:r w:rsidRPr="00797883">
              <w:rPr>
                <w:rFonts w:ascii="Book Antiqua" w:hAnsi="Book Antiqua" w:cstheme="minorHAnsi"/>
                <w:b/>
                <w:bCs/>
                <w:i/>
                <w:sz w:val="22"/>
                <w:lang w:val="sq-AL"/>
              </w:rPr>
              <w:t xml:space="preserve">, </w:t>
            </w:r>
            <w:r w:rsidRPr="00797883">
              <w:rPr>
                <w:rFonts w:ascii="Book Antiqua" w:hAnsi="Book Antiqua" w:cstheme="minorHAnsi"/>
                <w:i/>
                <w:sz w:val="22"/>
                <w:lang w:val="sq-AL"/>
              </w:rPr>
              <w:t>Zbatime praktike, Tiranë</w:t>
            </w:r>
          </w:p>
        </w:tc>
      </w:tr>
      <w:tr w:rsidR="00CE7DC6" w:rsidRPr="00797883" w:rsidTr="00CE7DC6">
        <w:tc>
          <w:tcPr>
            <w:tcW w:w="3256" w:type="dxa"/>
            <w:gridSpan w:val="2"/>
          </w:tcPr>
          <w:p w:rsidR="00CE7DC6" w:rsidRPr="00797883" w:rsidRDefault="00CE7DC6" w:rsidP="00CE7DC6">
            <w:pPr>
              <w:rPr>
                <w:rFonts w:ascii="Book Antiqua" w:hAnsi="Book Antiqua" w:cs="Calibri"/>
                <w:b/>
                <w:sz w:val="22"/>
                <w:szCs w:val="22"/>
                <w:lang w:val="sq-AL"/>
              </w:rPr>
            </w:pPr>
            <w:r w:rsidRPr="00797883">
              <w:rPr>
                <w:rFonts w:ascii="Book Antiqua" w:hAnsi="Book Antiqua" w:cs="Calibri"/>
                <w:b/>
                <w:sz w:val="22"/>
                <w:szCs w:val="22"/>
                <w:lang w:val="sq-AL"/>
              </w:rPr>
              <w:t xml:space="preserve">Literatura shtesë:  </w:t>
            </w:r>
          </w:p>
        </w:tc>
        <w:tc>
          <w:tcPr>
            <w:tcW w:w="5670" w:type="dxa"/>
            <w:gridSpan w:val="4"/>
          </w:tcPr>
          <w:p w:rsidR="00CE7DC6" w:rsidRPr="00797883" w:rsidRDefault="00CE7DC6" w:rsidP="00CE7DC6">
            <w:pPr>
              <w:pStyle w:val="Defaul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 xml:space="preserve">Robbins S. P. &amp; DeCenso D., (2012), Bazat e </w:t>
            </w:r>
            <w:r w:rsidRPr="00797883">
              <w:rPr>
                <w:rFonts w:ascii="Book Antiqua" w:hAnsi="Book Antiqua" w:cstheme="minorHAnsi"/>
                <w:i/>
                <w:sz w:val="22"/>
                <w:lang w:val="sq-AL"/>
              </w:rPr>
              <w:lastRenderedPageBreak/>
              <w:t>menaxhimit, Koncepte dhe aplikime themelore, Tiranë</w:t>
            </w:r>
          </w:p>
          <w:p w:rsidR="00CE7DC6" w:rsidRPr="00797883" w:rsidRDefault="00CE7DC6" w:rsidP="00CE7DC6">
            <w:pPr>
              <w:pStyle w:val="Defaul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Lekiqi B., (2013), Efektet e motivimit në menaxhimin e burimeve njerëzore në ndërmarrjet përpunuese, Tiranë</w:t>
            </w:r>
          </w:p>
          <w:p w:rsidR="00CE7DC6" w:rsidRPr="00797883" w:rsidRDefault="00CE7DC6" w:rsidP="00CE7DC6">
            <w:pPr>
              <w:pStyle w:val="Defaul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 xml:space="preserve">Shyqeri Llaci &amp; Zana Koli, Manaxhimi i burimeve njerëzore,  Tiranë, 2005 </w:t>
            </w:r>
          </w:p>
          <w:p w:rsidR="00CE7DC6" w:rsidRPr="00797883" w:rsidRDefault="00CE7DC6" w:rsidP="00CE7DC6">
            <w:pPr>
              <w:pStyle w:val="Default"/>
              <w:numPr>
                <w:ilvl w:val="0"/>
                <w:numId w:val="9"/>
              </w:numPr>
              <w:ind w:left="317" w:hanging="317"/>
              <w:rPr>
                <w:rFonts w:ascii="Book Antiqua" w:hAnsi="Book Antiqua" w:cstheme="minorHAnsi"/>
                <w:i/>
                <w:sz w:val="22"/>
                <w:lang w:val="sq-AL"/>
              </w:rPr>
            </w:pPr>
            <w:r w:rsidRPr="00797883">
              <w:rPr>
                <w:rFonts w:ascii="Book Antiqua" w:hAnsi="Book Antiqua" w:cstheme="minorHAnsi"/>
                <w:i/>
                <w:sz w:val="22"/>
                <w:lang w:val="sq-AL"/>
              </w:rPr>
              <w:t>Thomas R. Hummel,  Personalmanagement, Ventus Publishing ApS, 2012</w:t>
            </w:r>
          </w:p>
        </w:tc>
      </w:tr>
      <w:tr w:rsidR="0017101A" w:rsidRPr="00797883" w:rsidTr="00CE7DC6">
        <w:tc>
          <w:tcPr>
            <w:tcW w:w="3256" w:type="dxa"/>
            <w:gridSpan w:val="2"/>
          </w:tcPr>
          <w:p w:rsidR="0017101A" w:rsidRPr="00797883" w:rsidRDefault="0017101A" w:rsidP="0017101A">
            <w:pPr>
              <w:pStyle w:val="NoSpacing"/>
              <w:rPr>
                <w:rFonts w:ascii="Book Antiqua" w:hAnsi="Book Antiqua" w:cs="Calibri"/>
                <w:b/>
                <w:sz w:val="22"/>
                <w:szCs w:val="22"/>
                <w:lang w:val="sq-AL"/>
              </w:rPr>
            </w:pPr>
            <w:r w:rsidRPr="00797883">
              <w:rPr>
                <w:rFonts w:ascii="Book Antiqua" w:hAnsi="Book Antiqua" w:cs="Calibri"/>
                <w:b/>
                <w:color w:val="000000"/>
                <w:sz w:val="22"/>
                <w:szCs w:val="22"/>
                <w:lang w:val="de-DE"/>
              </w:rPr>
              <w:lastRenderedPageBreak/>
              <w:t>Raporti i teorisë dhe praktikës:</w:t>
            </w:r>
          </w:p>
        </w:tc>
        <w:tc>
          <w:tcPr>
            <w:tcW w:w="5670" w:type="dxa"/>
            <w:gridSpan w:val="4"/>
          </w:tcPr>
          <w:p w:rsidR="0017101A" w:rsidRPr="00797883" w:rsidRDefault="0017101A" w:rsidP="0017101A">
            <w:pPr>
              <w:tabs>
                <w:tab w:val="left" w:pos="732"/>
              </w:tabs>
              <w:rPr>
                <w:rFonts w:ascii="Book Antiqua" w:hAnsi="Book Antiqua" w:cstheme="minorHAnsi"/>
                <w:i/>
                <w:sz w:val="22"/>
                <w:szCs w:val="22"/>
              </w:rPr>
            </w:pPr>
            <w:r w:rsidRPr="00797883">
              <w:rPr>
                <w:rFonts w:ascii="Book Antiqua" w:hAnsi="Book Antiqua" w:cstheme="minorHAnsi"/>
                <w:i/>
                <w:color w:val="000000"/>
                <w:sz w:val="22"/>
                <w:szCs w:val="22"/>
                <w:lang w:val="en-GB"/>
              </w:rPr>
              <w:t>80% Teori; 20%  Praktike</w:t>
            </w:r>
          </w:p>
        </w:tc>
      </w:tr>
    </w:tbl>
    <w:tbl>
      <w:tblPr>
        <w:tblpPr w:leftFromText="180" w:rightFromText="180" w:vertAnchor="text" w:horzAnchor="margin" w:tblpY="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670"/>
      </w:tblGrid>
      <w:tr w:rsidR="00D67209" w:rsidRPr="00797883" w:rsidTr="00CE7DC6">
        <w:tc>
          <w:tcPr>
            <w:tcW w:w="8926" w:type="dxa"/>
            <w:gridSpan w:val="2"/>
            <w:shd w:val="clear" w:color="auto" w:fill="D9D9D9"/>
          </w:tcPr>
          <w:p w:rsidR="00D67209" w:rsidRPr="00797883" w:rsidRDefault="00D67209" w:rsidP="00D67209">
            <w:pPr>
              <w:rPr>
                <w:rFonts w:ascii="Book Antiqua" w:hAnsi="Book Antiqua" w:cs="Calibri"/>
                <w:b/>
                <w:sz w:val="22"/>
                <w:szCs w:val="22"/>
                <w:lang w:val="sq-AL"/>
              </w:rPr>
            </w:pPr>
            <w:r w:rsidRPr="00797883">
              <w:rPr>
                <w:rFonts w:ascii="Book Antiqua" w:hAnsi="Book Antiqua" w:cs="Calibri"/>
                <w:b/>
                <w:sz w:val="22"/>
                <w:szCs w:val="22"/>
                <w:lang w:val="sq-AL"/>
              </w:rPr>
              <w:t xml:space="preserve">Plani i </w:t>
            </w:r>
            <w:r w:rsidR="007C4EB8" w:rsidRPr="00797883">
              <w:rPr>
                <w:rFonts w:ascii="Book Antiqua" w:hAnsi="Book Antiqua" w:cs="Calibri"/>
                <w:b/>
                <w:sz w:val="22"/>
                <w:szCs w:val="22"/>
                <w:lang w:val="sq-AL"/>
              </w:rPr>
              <w:t>dizajnuar</w:t>
            </w:r>
            <w:r w:rsidRPr="00797883">
              <w:rPr>
                <w:rFonts w:ascii="Book Antiqua" w:hAnsi="Book Antiqua" w:cs="Calibri"/>
                <w:b/>
                <w:sz w:val="22"/>
                <w:szCs w:val="22"/>
                <w:lang w:val="sq-AL"/>
              </w:rPr>
              <w:t xml:space="preserve"> i </w:t>
            </w:r>
            <w:r w:rsidR="007C4EB8" w:rsidRPr="00797883">
              <w:rPr>
                <w:rFonts w:ascii="Book Antiqua" w:hAnsi="Book Antiqua" w:cs="Calibri"/>
                <w:b/>
                <w:sz w:val="22"/>
                <w:szCs w:val="22"/>
                <w:lang w:val="sq-AL"/>
              </w:rPr>
              <w:t>studimeve</w:t>
            </w:r>
            <w:r w:rsidRPr="00797883">
              <w:rPr>
                <w:rFonts w:ascii="Book Antiqua" w:hAnsi="Book Antiqua" w:cs="Calibri"/>
                <w:b/>
                <w:sz w:val="22"/>
                <w:szCs w:val="22"/>
                <w:lang w:val="sq-AL"/>
              </w:rPr>
              <w:t xml:space="preserve">:  </w:t>
            </w:r>
          </w:p>
        </w:tc>
      </w:tr>
      <w:tr w:rsidR="00D67209" w:rsidRPr="00797883" w:rsidTr="00CE7DC6">
        <w:tc>
          <w:tcPr>
            <w:tcW w:w="3256" w:type="dxa"/>
            <w:shd w:val="clear" w:color="auto" w:fill="D9D9D9"/>
          </w:tcPr>
          <w:p w:rsidR="00D67209" w:rsidRPr="00797883" w:rsidRDefault="00D67209" w:rsidP="00D67209">
            <w:pPr>
              <w:rPr>
                <w:rFonts w:ascii="Book Antiqua" w:hAnsi="Book Antiqua"/>
                <w:b/>
                <w:lang w:val="sq-AL"/>
              </w:rPr>
            </w:pPr>
            <w:r w:rsidRPr="00797883">
              <w:rPr>
                <w:rFonts w:ascii="Book Antiqua" w:hAnsi="Book Antiqua"/>
                <w:b/>
                <w:lang w:val="sq-AL"/>
              </w:rPr>
              <w:t>Java</w:t>
            </w:r>
          </w:p>
        </w:tc>
        <w:tc>
          <w:tcPr>
            <w:tcW w:w="5670" w:type="dxa"/>
            <w:shd w:val="clear" w:color="auto" w:fill="D9D9D9"/>
          </w:tcPr>
          <w:p w:rsidR="00D67209" w:rsidRPr="00797883" w:rsidRDefault="007C4EB8" w:rsidP="00D67209">
            <w:pPr>
              <w:rPr>
                <w:rFonts w:ascii="Book Antiqua" w:hAnsi="Book Antiqua" w:cs="Calibri"/>
                <w:b/>
                <w:sz w:val="22"/>
                <w:szCs w:val="22"/>
                <w:lang w:val="sq-AL"/>
              </w:rPr>
            </w:pPr>
            <w:r w:rsidRPr="00797883">
              <w:rPr>
                <w:rFonts w:ascii="Book Antiqua" w:hAnsi="Book Antiqua" w:cs="Calibri"/>
                <w:b/>
                <w:sz w:val="22"/>
                <w:szCs w:val="22"/>
                <w:lang w:val="sq-AL"/>
              </w:rPr>
              <w:t>Ligjërata</w:t>
            </w:r>
            <w:r w:rsidR="00D67209" w:rsidRPr="00797883">
              <w:rPr>
                <w:rFonts w:ascii="Book Antiqua" w:hAnsi="Book Antiqua" w:cs="Calibri"/>
                <w:b/>
                <w:sz w:val="22"/>
                <w:szCs w:val="22"/>
                <w:lang w:val="sq-AL"/>
              </w:rPr>
              <w:t xml:space="preserve"> që do të zhvillohet</w:t>
            </w:r>
          </w:p>
        </w:tc>
      </w:tr>
      <w:tr w:rsidR="00F20D14" w:rsidRPr="00797883" w:rsidTr="00CE7DC6">
        <w:tc>
          <w:tcPr>
            <w:tcW w:w="3256" w:type="dxa"/>
          </w:tcPr>
          <w:p w:rsidR="00F20D14" w:rsidRPr="00797883" w:rsidRDefault="00F20D14" w:rsidP="00392933">
            <w:pPr>
              <w:rPr>
                <w:rFonts w:ascii="Book Antiqua" w:hAnsi="Book Antiqua" w:cstheme="minorHAnsi"/>
                <w:b/>
                <w:lang w:val="sq-AL"/>
              </w:rPr>
            </w:pPr>
            <w:r w:rsidRPr="00797883">
              <w:rPr>
                <w:rFonts w:ascii="Book Antiqua" w:hAnsi="Book Antiqua" w:cstheme="minorHAnsi"/>
                <w:b/>
                <w:i/>
                <w:lang w:val="sq-AL"/>
              </w:rPr>
              <w:t>Java e parë:</w:t>
            </w:r>
          </w:p>
        </w:tc>
        <w:tc>
          <w:tcPr>
            <w:tcW w:w="5670" w:type="dxa"/>
            <w:vAlign w:val="center"/>
          </w:tcPr>
          <w:p w:rsidR="008F3475"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Prezentimi i Syllabusit</w:t>
            </w:r>
          </w:p>
        </w:tc>
      </w:tr>
      <w:tr w:rsidR="00F20D14" w:rsidRPr="00797883" w:rsidTr="00CE7DC6">
        <w:tc>
          <w:tcPr>
            <w:tcW w:w="3256" w:type="dxa"/>
          </w:tcPr>
          <w:p w:rsidR="00F20D14" w:rsidRPr="00797883" w:rsidRDefault="00F20D14" w:rsidP="00392933">
            <w:pPr>
              <w:rPr>
                <w:rFonts w:ascii="Book Antiqua" w:hAnsi="Book Antiqua" w:cstheme="minorHAnsi"/>
                <w:b/>
                <w:lang w:val="sq-AL"/>
              </w:rPr>
            </w:pPr>
            <w:r w:rsidRPr="00797883">
              <w:rPr>
                <w:rFonts w:ascii="Book Antiqua" w:hAnsi="Book Antiqua" w:cstheme="minorHAnsi"/>
                <w:b/>
                <w:i/>
                <w:lang w:val="sq-AL"/>
              </w:rPr>
              <w:t>Java e dytë:</w:t>
            </w:r>
          </w:p>
        </w:tc>
        <w:tc>
          <w:tcPr>
            <w:tcW w:w="5670" w:type="dxa"/>
            <w:vAlign w:val="center"/>
          </w:tcPr>
          <w:p w:rsidR="008F3475"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 xml:space="preserve">MBNJ, çelësi i suksesit në biznes; </w:t>
            </w:r>
          </w:p>
        </w:tc>
      </w:tr>
      <w:tr w:rsidR="00F20D14" w:rsidRPr="00797883" w:rsidTr="00CE7DC6">
        <w:tc>
          <w:tcPr>
            <w:tcW w:w="3256" w:type="dxa"/>
          </w:tcPr>
          <w:p w:rsidR="00F20D14" w:rsidRPr="00797883" w:rsidRDefault="00F20D14" w:rsidP="00392933">
            <w:pPr>
              <w:rPr>
                <w:rFonts w:ascii="Book Antiqua" w:hAnsi="Book Antiqua" w:cstheme="minorHAnsi"/>
                <w:b/>
                <w:lang w:val="sq-AL"/>
              </w:rPr>
            </w:pPr>
            <w:r w:rsidRPr="00797883">
              <w:rPr>
                <w:rFonts w:ascii="Book Antiqua" w:hAnsi="Book Antiqua" w:cstheme="minorHAnsi"/>
                <w:b/>
                <w:i/>
                <w:lang w:val="sq-AL"/>
              </w:rPr>
              <w:t>Java e tretë</w:t>
            </w:r>
            <w:r w:rsidRPr="00797883">
              <w:rPr>
                <w:rFonts w:ascii="Book Antiqua" w:hAnsi="Book Antiqua" w:cstheme="minorHAnsi"/>
                <w:b/>
                <w:lang w:val="sq-AL"/>
              </w:rPr>
              <w:t>:</w:t>
            </w:r>
          </w:p>
        </w:tc>
        <w:tc>
          <w:tcPr>
            <w:tcW w:w="5670" w:type="dxa"/>
            <w:vAlign w:val="center"/>
          </w:tcPr>
          <w:p w:rsidR="008F3475"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Sjellja individuale &amp; Mjedisi i organizatës</w:t>
            </w:r>
          </w:p>
        </w:tc>
      </w:tr>
      <w:tr w:rsidR="00F20D14" w:rsidRPr="00797883" w:rsidTr="00CE7DC6">
        <w:tc>
          <w:tcPr>
            <w:tcW w:w="3256" w:type="dxa"/>
          </w:tcPr>
          <w:p w:rsidR="00F20D14" w:rsidRPr="00797883" w:rsidRDefault="00F20D14" w:rsidP="00392933">
            <w:pPr>
              <w:rPr>
                <w:rFonts w:ascii="Book Antiqua" w:hAnsi="Book Antiqua" w:cstheme="minorHAnsi"/>
                <w:b/>
                <w:lang w:val="sq-AL"/>
              </w:rPr>
            </w:pPr>
            <w:r w:rsidRPr="00797883">
              <w:rPr>
                <w:rFonts w:ascii="Book Antiqua" w:hAnsi="Book Antiqua" w:cstheme="minorHAnsi"/>
                <w:b/>
                <w:i/>
                <w:lang w:val="sq-AL"/>
              </w:rPr>
              <w:t>Java e katërt:</w:t>
            </w:r>
          </w:p>
        </w:tc>
        <w:tc>
          <w:tcPr>
            <w:tcW w:w="5670" w:type="dxa"/>
            <w:vAlign w:val="center"/>
          </w:tcPr>
          <w:p w:rsidR="004E4C3D"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Ekipi menaxherial, Trajtimi i të punësuarve dhe Etika në biznes</w:t>
            </w:r>
          </w:p>
        </w:tc>
      </w:tr>
      <w:tr w:rsidR="00F20D14" w:rsidRPr="00797883" w:rsidTr="00CE7DC6">
        <w:tc>
          <w:tcPr>
            <w:tcW w:w="3256" w:type="dxa"/>
          </w:tcPr>
          <w:p w:rsidR="00F20D14" w:rsidRPr="00797883" w:rsidRDefault="00F20D14" w:rsidP="00392933">
            <w:pPr>
              <w:rPr>
                <w:rFonts w:ascii="Book Antiqua" w:hAnsi="Book Antiqua" w:cstheme="minorHAnsi"/>
                <w:b/>
                <w:lang w:val="sq-AL"/>
              </w:rPr>
            </w:pPr>
            <w:r w:rsidRPr="00797883">
              <w:rPr>
                <w:rFonts w:ascii="Book Antiqua" w:hAnsi="Book Antiqua" w:cstheme="minorHAnsi"/>
                <w:b/>
                <w:i/>
                <w:lang w:val="sq-AL"/>
              </w:rPr>
              <w:t>Java e pestë:</w:t>
            </w:r>
            <w:r w:rsidRPr="00797883">
              <w:rPr>
                <w:rFonts w:ascii="Book Antiqua" w:hAnsi="Book Antiqua" w:cstheme="minorHAnsi"/>
                <w:b/>
                <w:lang w:val="sq-AL"/>
              </w:rPr>
              <w:t xml:space="preserve">  </w:t>
            </w:r>
          </w:p>
        </w:tc>
        <w:tc>
          <w:tcPr>
            <w:tcW w:w="5670" w:type="dxa"/>
            <w:vAlign w:val="center"/>
          </w:tcPr>
          <w:p w:rsidR="004E4C3D"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Komunikimi</w:t>
            </w:r>
          </w:p>
        </w:tc>
      </w:tr>
      <w:tr w:rsidR="0051241C" w:rsidRPr="00797883" w:rsidTr="00CE7DC6">
        <w:tc>
          <w:tcPr>
            <w:tcW w:w="3256" w:type="dxa"/>
          </w:tcPr>
          <w:p w:rsidR="0051241C" w:rsidRPr="00797883" w:rsidRDefault="0051241C" w:rsidP="0051241C">
            <w:pPr>
              <w:rPr>
                <w:rFonts w:ascii="Book Antiqua" w:hAnsi="Book Antiqua" w:cstheme="minorHAnsi"/>
                <w:b/>
                <w:lang w:val="sq-AL"/>
              </w:rPr>
            </w:pPr>
            <w:r w:rsidRPr="00797883">
              <w:rPr>
                <w:rFonts w:ascii="Book Antiqua" w:hAnsi="Book Antiqua" w:cstheme="minorHAnsi"/>
                <w:b/>
                <w:i/>
                <w:lang w:val="sq-AL"/>
              </w:rPr>
              <w:t>Java e gjashtë</w:t>
            </w:r>
            <w:r w:rsidRPr="00797883">
              <w:rPr>
                <w:rFonts w:ascii="Book Antiqua" w:hAnsi="Book Antiqua" w:cstheme="minorHAnsi"/>
                <w:b/>
                <w:lang w:val="sq-AL"/>
              </w:rPr>
              <w:t>:</w:t>
            </w:r>
          </w:p>
        </w:tc>
        <w:tc>
          <w:tcPr>
            <w:tcW w:w="5670" w:type="dxa"/>
            <w:vAlign w:val="center"/>
          </w:tcPr>
          <w:p w:rsidR="0062257E"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 xml:space="preserve">Intervista  </w:t>
            </w:r>
            <w:r w:rsidR="009D7ACA" w:rsidRPr="00797883">
              <w:rPr>
                <w:rFonts w:ascii="Book Antiqua" w:hAnsi="Book Antiqua" w:cs="Calibri"/>
                <w:i/>
                <w:sz w:val="22"/>
                <w:szCs w:val="22"/>
                <w:lang w:val="sq-AL"/>
              </w:rPr>
              <w:t xml:space="preserve">- </w:t>
            </w:r>
            <w:r w:rsidRPr="00797883">
              <w:rPr>
                <w:rFonts w:ascii="Book Antiqua" w:hAnsi="Book Antiqua" w:cs="Calibri"/>
                <w:i/>
                <w:sz w:val="22"/>
                <w:szCs w:val="22"/>
                <w:lang w:val="sq-AL"/>
              </w:rPr>
              <w:t>Praktikë profesionale / Vizitë studimore</w:t>
            </w:r>
          </w:p>
        </w:tc>
      </w:tr>
      <w:tr w:rsidR="0051241C" w:rsidRPr="00797883" w:rsidTr="00CE7DC6">
        <w:tc>
          <w:tcPr>
            <w:tcW w:w="3256" w:type="dxa"/>
          </w:tcPr>
          <w:p w:rsidR="0051241C" w:rsidRPr="00797883" w:rsidRDefault="0051241C" w:rsidP="0051241C">
            <w:pPr>
              <w:rPr>
                <w:rFonts w:ascii="Book Antiqua" w:hAnsi="Book Antiqua" w:cstheme="minorHAnsi"/>
                <w:b/>
                <w:lang w:val="sq-AL"/>
              </w:rPr>
            </w:pPr>
            <w:r w:rsidRPr="00797883">
              <w:rPr>
                <w:rFonts w:ascii="Book Antiqua" w:hAnsi="Book Antiqua" w:cstheme="minorHAnsi"/>
                <w:b/>
                <w:i/>
                <w:lang w:val="sq-AL"/>
              </w:rPr>
              <w:t>Java e shtatë:</w:t>
            </w:r>
            <w:r w:rsidRPr="00797883">
              <w:rPr>
                <w:rFonts w:ascii="Book Antiqua" w:hAnsi="Book Antiqua" w:cstheme="minorHAnsi"/>
                <w:b/>
                <w:lang w:val="sq-AL"/>
              </w:rPr>
              <w:t xml:space="preserve">  </w:t>
            </w:r>
          </w:p>
        </w:tc>
        <w:tc>
          <w:tcPr>
            <w:tcW w:w="5670" w:type="dxa"/>
          </w:tcPr>
          <w:p w:rsidR="0051241C" w:rsidRPr="00797883" w:rsidRDefault="001A78CD" w:rsidP="008C59A2">
            <w:pPr>
              <w:rPr>
                <w:rFonts w:ascii="Book Antiqua" w:hAnsi="Book Antiqua" w:cs="Calibri"/>
                <w:i/>
                <w:sz w:val="22"/>
                <w:szCs w:val="22"/>
                <w:lang w:val="sq-AL"/>
              </w:rPr>
            </w:pPr>
            <w:r w:rsidRPr="00797883">
              <w:rPr>
                <w:rFonts w:ascii="Book Antiqua" w:hAnsi="Book Antiqua" w:cs="Calibri"/>
                <w:i/>
                <w:sz w:val="22"/>
                <w:szCs w:val="22"/>
                <w:lang w:val="sq-AL"/>
              </w:rPr>
              <w:t xml:space="preserve">Testi </w:t>
            </w:r>
            <w:r w:rsidR="0051241C" w:rsidRPr="00797883">
              <w:rPr>
                <w:rFonts w:ascii="Book Antiqua" w:hAnsi="Book Antiqua" w:cs="Calibri"/>
                <w:i/>
                <w:sz w:val="22"/>
                <w:szCs w:val="22"/>
                <w:lang w:val="sq-AL"/>
              </w:rPr>
              <w:t>1</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tetë:</w:t>
            </w:r>
            <w:r w:rsidRPr="00797883">
              <w:rPr>
                <w:rFonts w:ascii="Book Antiqua" w:hAnsi="Book Antiqua" w:cstheme="minorHAnsi"/>
                <w:b/>
                <w:lang w:val="sq-AL"/>
              </w:rPr>
              <w:t xml:space="preserve">  </w:t>
            </w:r>
          </w:p>
        </w:tc>
        <w:tc>
          <w:tcPr>
            <w:tcW w:w="5670" w:type="dxa"/>
            <w:vAlign w:val="center"/>
          </w:tcPr>
          <w:p w:rsidR="00731633" w:rsidRPr="00797883" w:rsidRDefault="00E83A2C" w:rsidP="009D7ACA">
            <w:pPr>
              <w:rPr>
                <w:rFonts w:ascii="Book Antiqua" w:hAnsi="Book Antiqua" w:cs="Calibri"/>
                <w:i/>
                <w:sz w:val="22"/>
                <w:szCs w:val="22"/>
                <w:lang w:val="sq-AL"/>
              </w:rPr>
            </w:pPr>
            <w:r w:rsidRPr="00797883">
              <w:rPr>
                <w:rFonts w:ascii="Book Antiqua" w:hAnsi="Book Antiqua" w:cs="Calibri"/>
                <w:i/>
                <w:sz w:val="22"/>
                <w:szCs w:val="22"/>
                <w:lang w:val="sq-AL"/>
              </w:rPr>
              <w:t>Planifikimi i BNJ</w:t>
            </w:r>
            <w:r w:rsidR="009D7ACA" w:rsidRPr="00797883">
              <w:rPr>
                <w:rFonts w:ascii="Book Antiqua" w:hAnsi="Book Antiqua" w:cs="Calibri"/>
                <w:i/>
                <w:sz w:val="22"/>
                <w:szCs w:val="22"/>
                <w:lang w:val="sq-AL"/>
              </w:rPr>
              <w:t xml:space="preserve"> dhe </w:t>
            </w:r>
            <w:r w:rsidR="004E4C3D" w:rsidRPr="00797883">
              <w:rPr>
                <w:rFonts w:ascii="Book Antiqua" w:hAnsi="Book Antiqua" w:cs="Calibri"/>
                <w:i/>
                <w:sz w:val="22"/>
                <w:szCs w:val="22"/>
                <w:lang w:val="sq-AL"/>
              </w:rPr>
              <w:t xml:space="preserve">Zgjedhja e personelit </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nëntë:</w:t>
            </w:r>
            <w:r w:rsidRPr="00797883">
              <w:rPr>
                <w:rFonts w:ascii="Book Antiqua" w:hAnsi="Book Antiqua" w:cstheme="minorHAnsi"/>
                <w:b/>
                <w:lang w:val="sq-AL"/>
              </w:rPr>
              <w:t xml:space="preserve">  </w:t>
            </w:r>
          </w:p>
        </w:tc>
        <w:tc>
          <w:tcPr>
            <w:tcW w:w="5670" w:type="dxa"/>
            <w:vAlign w:val="center"/>
          </w:tcPr>
          <w:p w:rsidR="008F3475" w:rsidRPr="00797883" w:rsidRDefault="004E4C3D" w:rsidP="009D7ACA">
            <w:pPr>
              <w:rPr>
                <w:rFonts w:ascii="Book Antiqua" w:hAnsi="Book Antiqua" w:cs="Calibri"/>
                <w:i/>
                <w:sz w:val="22"/>
                <w:szCs w:val="22"/>
                <w:lang w:val="sq-AL"/>
              </w:rPr>
            </w:pPr>
            <w:r w:rsidRPr="00797883">
              <w:rPr>
                <w:rFonts w:ascii="Book Antiqua" w:hAnsi="Book Antiqua" w:cs="Calibri"/>
                <w:i/>
                <w:sz w:val="22"/>
                <w:szCs w:val="22"/>
                <w:lang w:val="sq-AL"/>
              </w:rPr>
              <w:t xml:space="preserve">Bazat e motivimit </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dhjetë:</w:t>
            </w:r>
          </w:p>
        </w:tc>
        <w:tc>
          <w:tcPr>
            <w:tcW w:w="5670" w:type="dxa"/>
            <w:vAlign w:val="center"/>
          </w:tcPr>
          <w:p w:rsidR="00A1523A" w:rsidRPr="00797883" w:rsidRDefault="00E83A2C" w:rsidP="009D7ACA">
            <w:pPr>
              <w:rPr>
                <w:rFonts w:ascii="Book Antiqua" w:hAnsi="Book Antiqua" w:cs="Calibri"/>
                <w:i/>
                <w:sz w:val="22"/>
                <w:szCs w:val="22"/>
                <w:lang w:val="sq-AL"/>
              </w:rPr>
            </w:pPr>
            <w:r w:rsidRPr="00797883">
              <w:rPr>
                <w:rFonts w:ascii="Book Antiqua" w:hAnsi="Book Antiqua" w:cs="Calibri"/>
                <w:i/>
                <w:sz w:val="22"/>
                <w:szCs w:val="22"/>
                <w:lang w:val="sq-AL"/>
              </w:rPr>
              <w:t>Menaxhimi</w:t>
            </w:r>
            <w:r w:rsidR="004E4C3D" w:rsidRPr="00797883">
              <w:rPr>
                <w:rFonts w:ascii="Book Antiqua" w:hAnsi="Book Antiqua" w:cs="Calibri"/>
                <w:i/>
                <w:sz w:val="22"/>
                <w:szCs w:val="22"/>
                <w:lang w:val="sq-AL"/>
              </w:rPr>
              <w:t xml:space="preserve"> i performances </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njëmbëdhjetë</w:t>
            </w:r>
            <w:r w:rsidRPr="00797883">
              <w:rPr>
                <w:rFonts w:ascii="Book Antiqua" w:hAnsi="Book Antiqua" w:cstheme="minorHAnsi"/>
                <w:b/>
                <w:lang w:val="sq-AL"/>
              </w:rPr>
              <w:t>:</w:t>
            </w:r>
          </w:p>
        </w:tc>
        <w:tc>
          <w:tcPr>
            <w:tcW w:w="5670" w:type="dxa"/>
            <w:vAlign w:val="center"/>
          </w:tcPr>
          <w:p w:rsidR="00D93AB7" w:rsidRPr="00797883" w:rsidRDefault="0062257E" w:rsidP="009D7ACA">
            <w:pPr>
              <w:rPr>
                <w:rFonts w:ascii="Book Antiqua" w:hAnsi="Book Antiqua" w:cs="Calibri"/>
                <w:i/>
                <w:sz w:val="22"/>
                <w:szCs w:val="22"/>
                <w:lang w:val="sq-AL"/>
              </w:rPr>
            </w:pPr>
            <w:r w:rsidRPr="00797883">
              <w:rPr>
                <w:rFonts w:ascii="Book Antiqua" w:hAnsi="Book Antiqua" w:cs="Calibri"/>
                <w:i/>
                <w:sz w:val="22"/>
                <w:szCs w:val="22"/>
                <w:lang w:val="sq-AL"/>
              </w:rPr>
              <w:t>Praktikë profesionale / Vizitë studimore</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dymbëdhjetë</w:t>
            </w:r>
            <w:r w:rsidRPr="00797883">
              <w:rPr>
                <w:rFonts w:ascii="Book Antiqua" w:hAnsi="Book Antiqua" w:cstheme="minorHAnsi"/>
                <w:b/>
                <w:lang w:val="sq-AL"/>
              </w:rPr>
              <w:t xml:space="preserve">:  </w:t>
            </w:r>
          </w:p>
        </w:tc>
        <w:tc>
          <w:tcPr>
            <w:tcW w:w="5670" w:type="dxa"/>
            <w:vAlign w:val="center"/>
          </w:tcPr>
          <w:p w:rsidR="00E83A2C" w:rsidRPr="00797883" w:rsidRDefault="00B416AA" w:rsidP="009D7ACA">
            <w:pPr>
              <w:rPr>
                <w:rFonts w:ascii="Book Antiqua" w:hAnsi="Book Antiqua" w:cs="Calibri"/>
                <w:i/>
                <w:sz w:val="22"/>
                <w:szCs w:val="22"/>
                <w:lang w:val="sq-AL"/>
              </w:rPr>
            </w:pPr>
            <w:r w:rsidRPr="00797883">
              <w:rPr>
                <w:rFonts w:ascii="Book Antiqua" w:hAnsi="Book Antiqua" w:cs="Calibri"/>
                <w:i/>
                <w:sz w:val="22"/>
                <w:szCs w:val="22"/>
                <w:lang w:val="sq-AL"/>
              </w:rPr>
              <w:t>Pagat</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trembëdhjetë</w:t>
            </w:r>
            <w:r w:rsidRPr="00797883">
              <w:rPr>
                <w:rFonts w:ascii="Book Antiqua" w:hAnsi="Book Antiqua" w:cstheme="minorHAnsi"/>
                <w:b/>
                <w:lang w:val="sq-AL"/>
              </w:rPr>
              <w:t xml:space="preserve">:    </w:t>
            </w:r>
          </w:p>
        </w:tc>
        <w:tc>
          <w:tcPr>
            <w:tcW w:w="5670" w:type="dxa"/>
            <w:vAlign w:val="center"/>
          </w:tcPr>
          <w:p w:rsidR="00A1523A" w:rsidRPr="00797883" w:rsidRDefault="00B416AA" w:rsidP="009D7ACA">
            <w:pPr>
              <w:rPr>
                <w:rFonts w:ascii="Book Antiqua" w:hAnsi="Book Antiqua" w:cs="Calibri"/>
                <w:i/>
                <w:sz w:val="22"/>
                <w:szCs w:val="22"/>
                <w:lang w:val="sq-AL"/>
              </w:rPr>
            </w:pPr>
            <w:r w:rsidRPr="00797883">
              <w:rPr>
                <w:rFonts w:ascii="Book Antiqua" w:hAnsi="Book Antiqua" w:cs="Calibri"/>
                <w:i/>
                <w:sz w:val="22"/>
                <w:szCs w:val="22"/>
                <w:lang w:val="sq-AL"/>
              </w:rPr>
              <w:t>Zhvillimi i Burimeve Njerëzore</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katërmbëdhjetë</w:t>
            </w:r>
            <w:r w:rsidRPr="00797883">
              <w:rPr>
                <w:rFonts w:ascii="Book Antiqua" w:hAnsi="Book Antiqua" w:cstheme="minorHAnsi"/>
                <w:b/>
                <w:lang w:val="sq-AL"/>
              </w:rPr>
              <w:t xml:space="preserve">:  </w:t>
            </w:r>
          </w:p>
        </w:tc>
        <w:tc>
          <w:tcPr>
            <w:tcW w:w="5670" w:type="dxa"/>
          </w:tcPr>
          <w:p w:rsidR="00A1523A" w:rsidRPr="00797883" w:rsidRDefault="00250B6F" w:rsidP="0026182B">
            <w:pPr>
              <w:rPr>
                <w:rFonts w:ascii="Book Antiqua" w:hAnsi="Book Antiqua" w:cs="Calibri"/>
                <w:i/>
                <w:sz w:val="22"/>
                <w:szCs w:val="22"/>
                <w:lang w:val="sq-AL"/>
              </w:rPr>
            </w:pPr>
            <w:r w:rsidRPr="00797883">
              <w:rPr>
                <w:rFonts w:ascii="Book Antiqua" w:hAnsi="Book Antiqua" w:cs="Calibri"/>
                <w:i/>
                <w:sz w:val="22"/>
                <w:szCs w:val="22"/>
                <w:lang w:val="sq-AL"/>
              </w:rPr>
              <w:t>Menaxhmenti i qëndrueshëm i burimeve njerëzore në konkurrencën globale</w:t>
            </w:r>
          </w:p>
        </w:tc>
      </w:tr>
      <w:tr w:rsidR="0051241C" w:rsidRPr="00797883" w:rsidTr="00CE7DC6">
        <w:tc>
          <w:tcPr>
            <w:tcW w:w="3256" w:type="dxa"/>
          </w:tcPr>
          <w:p w:rsidR="0051241C" w:rsidRPr="00797883" w:rsidRDefault="0051241C" w:rsidP="0051241C">
            <w:pPr>
              <w:rPr>
                <w:rFonts w:ascii="Book Antiqua" w:hAnsi="Book Antiqua" w:cstheme="minorHAnsi"/>
                <w:b/>
                <w:i/>
                <w:lang w:val="sq-AL"/>
              </w:rPr>
            </w:pPr>
            <w:r w:rsidRPr="00797883">
              <w:rPr>
                <w:rFonts w:ascii="Book Antiqua" w:hAnsi="Book Antiqua" w:cstheme="minorHAnsi"/>
                <w:b/>
                <w:i/>
                <w:lang w:val="sq-AL"/>
              </w:rPr>
              <w:t>Java e pesëmbëdhjetë</w:t>
            </w:r>
            <w:r w:rsidRPr="00797883">
              <w:rPr>
                <w:rFonts w:ascii="Book Antiqua" w:hAnsi="Book Antiqua" w:cstheme="minorHAnsi"/>
                <w:b/>
                <w:lang w:val="sq-AL"/>
              </w:rPr>
              <w:t xml:space="preserve">:   </w:t>
            </w:r>
          </w:p>
        </w:tc>
        <w:tc>
          <w:tcPr>
            <w:tcW w:w="5670" w:type="dxa"/>
          </w:tcPr>
          <w:p w:rsidR="0051241C" w:rsidRPr="00797883" w:rsidRDefault="008C59A2" w:rsidP="008C59A2">
            <w:pPr>
              <w:rPr>
                <w:rFonts w:ascii="Book Antiqua" w:hAnsi="Book Antiqua" w:cs="Calibri"/>
                <w:i/>
                <w:sz w:val="22"/>
                <w:szCs w:val="22"/>
                <w:lang w:val="sq-AL"/>
              </w:rPr>
            </w:pPr>
            <w:r w:rsidRPr="00797883">
              <w:rPr>
                <w:rFonts w:ascii="Book Antiqua" w:hAnsi="Book Antiqua" w:cs="Calibri"/>
                <w:i/>
                <w:sz w:val="22"/>
                <w:szCs w:val="22"/>
                <w:lang w:val="sq-AL"/>
              </w:rPr>
              <w:t>Testi  2</w:t>
            </w:r>
          </w:p>
        </w:tc>
      </w:tr>
    </w:tbl>
    <w:p w:rsidR="006F116D" w:rsidRPr="00797883" w:rsidRDefault="006F116D">
      <w:pPr>
        <w:rPr>
          <w:rFonts w:ascii="Book Antiqua" w:hAnsi="Book Antiqua"/>
          <w:b/>
          <w:sz w:val="20"/>
          <w:lang w:val="sq-AL"/>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CF116F" w:rsidRPr="00797883" w:rsidTr="00D73FF1">
        <w:tc>
          <w:tcPr>
            <w:tcW w:w="8926" w:type="dxa"/>
            <w:shd w:val="clear" w:color="auto" w:fill="D9D9D9"/>
          </w:tcPr>
          <w:p w:rsidR="00CF116F" w:rsidRPr="00797883" w:rsidRDefault="00CF116F" w:rsidP="007E6202">
            <w:pPr>
              <w:jc w:val="center"/>
              <w:rPr>
                <w:rFonts w:ascii="Book Antiqua" w:hAnsi="Book Antiqua"/>
                <w:b/>
                <w:lang w:val="sq-AL"/>
              </w:rPr>
            </w:pPr>
            <w:r w:rsidRPr="00797883">
              <w:rPr>
                <w:rFonts w:ascii="Book Antiqua" w:hAnsi="Book Antiqua"/>
                <w:b/>
                <w:lang w:val="sq-AL"/>
              </w:rPr>
              <w:t>Politikat akademike dhe rregullat e mirësjelljes:</w:t>
            </w:r>
          </w:p>
        </w:tc>
      </w:tr>
      <w:tr w:rsidR="00CF116F" w:rsidRPr="00797883" w:rsidTr="009D7ACA">
        <w:trPr>
          <w:trHeight w:val="558"/>
        </w:trPr>
        <w:tc>
          <w:tcPr>
            <w:tcW w:w="8926" w:type="dxa"/>
          </w:tcPr>
          <w:p w:rsidR="00F20D14" w:rsidRPr="00797883" w:rsidRDefault="00F20D14" w:rsidP="009D7ACA">
            <w:pPr>
              <w:numPr>
                <w:ilvl w:val="0"/>
                <w:numId w:val="7"/>
              </w:numPr>
              <w:ind w:left="313" w:hanging="313"/>
              <w:rPr>
                <w:rFonts w:ascii="Book Antiqua" w:hAnsi="Book Antiqua"/>
                <w:i/>
                <w:sz w:val="22"/>
                <w:szCs w:val="22"/>
                <w:lang w:val="sq-AL"/>
              </w:rPr>
            </w:pPr>
            <w:r w:rsidRPr="00797883">
              <w:rPr>
                <w:rFonts w:ascii="Book Antiqua" w:hAnsi="Book Antiqua"/>
                <w:i/>
                <w:sz w:val="22"/>
                <w:szCs w:val="22"/>
                <w:lang w:val="sq-AL"/>
              </w:rPr>
              <w:t xml:space="preserve">Pjesëmarrja në ligjërata dhe ushtrime është e obligueshme. </w:t>
            </w:r>
          </w:p>
          <w:p w:rsidR="00F20D14" w:rsidRPr="00797883" w:rsidRDefault="00F20D14" w:rsidP="009D7ACA">
            <w:pPr>
              <w:numPr>
                <w:ilvl w:val="0"/>
                <w:numId w:val="7"/>
              </w:numPr>
              <w:ind w:left="313" w:hanging="313"/>
              <w:rPr>
                <w:rFonts w:ascii="Book Antiqua" w:hAnsi="Book Antiqua"/>
                <w:i/>
                <w:sz w:val="22"/>
                <w:szCs w:val="22"/>
                <w:lang w:val="sq-AL"/>
              </w:rPr>
            </w:pPr>
            <w:r w:rsidRPr="00797883">
              <w:rPr>
                <w:rFonts w:ascii="Book Antiqua" w:hAnsi="Book Antiqua"/>
                <w:i/>
                <w:sz w:val="22"/>
                <w:szCs w:val="22"/>
                <w:lang w:val="sq-AL"/>
              </w:rPr>
              <w:t>Studentët inkurajohen që të kërkojnë sqarime gjatë ligjëratave dhe ushtrimeve.</w:t>
            </w:r>
          </w:p>
          <w:p w:rsidR="009D7ACA" w:rsidRPr="00797883" w:rsidRDefault="00F20D14" w:rsidP="009D7ACA">
            <w:pPr>
              <w:numPr>
                <w:ilvl w:val="0"/>
                <w:numId w:val="7"/>
              </w:numPr>
              <w:ind w:left="313" w:hanging="313"/>
              <w:rPr>
                <w:rFonts w:ascii="Book Antiqua" w:hAnsi="Book Antiqua"/>
                <w:i/>
                <w:sz w:val="22"/>
                <w:szCs w:val="22"/>
                <w:lang w:val="sq-AL"/>
              </w:rPr>
            </w:pPr>
            <w:r w:rsidRPr="00797883">
              <w:rPr>
                <w:rFonts w:ascii="Book Antiqua" w:hAnsi="Book Antiqua"/>
                <w:i/>
                <w:sz w:val="22"/>
                <w:szCs w:val="22"/>
                <w:lang w:val="sq-AL"/>
              </w:rPr>
              <w:t>Mësimdhënësi do të jetë në dispozicion për sqarime shtes</w:t>
            </w:r>
            <w:r w:rsidR="009D7ACA" w:rsidRPr="00797883">
              <w:rPr>
                <w:rFonts w:ascii="Book Antiqua" w:hAnsi="Book Antiqua"/>
                <w:i/>
                <w:sz w:val="22"/>
                <w:szCs w:val="22"/>
                <w:lang w:val="sq-AL"/>
              </w:rPr>
              <w:t>ë dhe konsultime të studentëve.</w:t>
            </w:r>
          </w:p>
          <w:p w:rsidR="00F20D14" w:rsidRPr="00797883" w:rsidRDefault="00F20D14" w:rsidP="009D7ACA">
            <w:pPr>
              <w:numPr>
                <w:ilvl w:val="0"/>
                <w:numId w:val="7"/>
              </w:numPr>
              <w:ind w:left="313" w:hanging="313"/>
              <w:rPr>
                <w:rFonts w:ascii="Book Antiqua" w:hAnsi="Book Antiqua"/>
                <w:i/>
                <w:sz w:val="22"/>
                <w:szCs w:val="22"/>
                <w:lang w:val="sq-AL"/>
              </w:rPr>
            </w:pPr>
            <w:r w:rsidRPr="00797883">
              <w:rPr>
                <w:rFonts w:ascii="Book Antiqua" w:hAnsi="Book Antiqua"/>
                <w:i/>
                <w:sz w:val="22"/>
                <w:szCs w:val="22"/>
                <w:lang w:val="sq-AL"/>
              </w:rPr>
              <w:t xml:space="preserve">Studentët kanë për obligim që pas çdo ligjërate të lexojnë së paku literaturën që ju është caktuar dhe të kryejnë detyrat dhe esetë që do t’u jepen. Studentët inkurajohen të përcjellin diskutimet në media dhe të hapin diskutime për to. </w:t>
            </w:r>
          </w:p>
          <w:p w:rsidR="00F20D14" w:rsidRPr="00797883" w:rsidRDefault="00F20D14" w:rsidP="009D7ACA">
            <w:pPr>
              <w:numPr>
                <w:ilvl w:val="0"/>
                <w:numId w:val="7"/>
              </w:numPr>
              <w:ind w:left="313" w:hanging="313"/>
              <w:rPr>
                <w:rFonts w:ascii="Book Antiqua" w:hAnsi="Book Antiqua"/>
                <w:i/>
                <w:sz w:val="22"/>
                <w:szCs w:val="22"/>
                <w:lang w:val="sq-AL"/>
              </w:rPr>
            </w:pPr>
            <w:r w:rsidRPr="00797883">
              <w:rPr>
                <w:rFonts w:ascii="Book Antiqua" w:hAnsi="Book Antiqua"/>
                <w:i/>
                <w:sz w:val="22"/>
                <w:szCs w:val="22"/>
                <w:lang w:val="sq-AL"/>
              </w:rPr>
              <w:t xml:space="preserve">Studenti duhet të jetë i ndërgjegjshëm dhe të respektojë institucionin dhe rregullat studimore. Duhet të respektojë orarin e ligjëratave, ushtrimeve dhe të jetë i vëmendshëm në ligjërata. Është i obliguar posedimi dhe paraqitja e indeksit në teste dhe provim. </w:t>
            </w:r>
          </w:p>
          <w:p w:rsidR="006F116D" w:rsidRPr="00797883" w:rsidRDefault="00F20D14" w:rsidP="009D7ACA">
            <w:pPr>
              <w:numPr>
                <w:ilvl w:val="0"/>
                <w:numId w:val="7"/>
              </w:numPr>
              <w:ind w:left="313" w:hanging="313"/>
              <w:rPr>
                <w:rFonts w:ascii="Book Antiqua" w:hAnsi="Book Antiqua"/>
                <w:lang w:val="sq-AL"/>
              </w:rPr>
            </w:pPr>
            <w:r w:rsidRPr="00797883">
              <w:rPr>
                <w:rFonts w:ascii="Book Antiqua" w:hAnsi="Book Antiqua"/>
                <w:i/>
                <w:sz w:val="22"/>
                <w:szCs w:val="22"/>
                <w:lang w:val="sq-AL"/>
              </w:rPr>
              <w:t>Gjatë hartimit të punimeve seminarike, studenti duhet ti përmbahet udhëzimeve të dhëna nga mësimdhënësi për realizimin hulumtues dhe teknik të punimit.</w:t>
            </w:r>
          </w:p>
        </w:tc>
      </w:tr>
    </w:tbl>
    <w:p w:rsidR="00B815D1" w:rsidRPr="00797883" w:rsidRDefault="00B815D1">
      <w:pPr>
        <w:rPr>
          <w:rFonts w:ascii="Book Antiqua" w:hAnsi="Book Antiqua"/>
          <w:b/>
          <w:lang w:val="sq-AL"/>
        </w:rPr>
      </w:pPr>
    </w:p>
    <w:sectPr w:rsidR="00B815D1" w:rsidRPr="00797883" w:rsidSect="00E03AE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04" w:rsidRDefault="00FA2604">
      <w:r>
        <w:separator/>
      </w:r>
    </w:p>
  </w:endnote>
  <w:endnote w:type="continuationSeparator" w:id="0">
    <w:p w:rsidR="00FA2604" w:rsidRDefault="00FA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72618B"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72618B"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FF545B">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04" w:rsidRDefault="00FA2604">
      <w:r>
        <w:separator/>
      </w:r>
    </w:p>
  </w:footnote>
  <w:footnote w:type="continuationSeparator" w:id="0">
    <w:p w:rsidR="00FA2604" w:rsidRDefault="00FA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486"/>
    <w:multiLevelType w:val="hybridMultilevel"/>
    <w:tmpl w:val="8778A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574619"/>
    <w:multiLevelType w:val="hybridMultilevel"/>
    <w:tmpl w:val="F9CA4C7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F190299"/>
    <w:multiLevelType w:val="hybridMultilevel"/>
    <w:tmpl w:val="BA4C6B0C"/>
    <w:lvl w:ilvl="0" w:tplc="0409000F">
      <w:start w:val="1"/>
      <w:numFmt w:val="decimal"/>
      <w:lvlText w:val="%1."/>
      <w:lvlJc w:val="left"/>
      <w:pPr>
        <w:tabs>
          <w:tab w:val="num" w:pos="360"/>
        </w:tabs>
        <w:ind w:left="360" w:hanging="360"/>
      </w:pPr>
      <w:rPr>
        <w:rFonts w:cs="Times New Roman" w:hint="default"/>
      </w:rPr>
    </w:lvl>
    <w:lvl w:ilvl="1" w:tplc="75D03F1A" w:tentative="1">
      <w:start w:val="1"/>
      <w:numFmt w:val="bullet"/>
      <w:lvlText w:val="•"/>
      <w:lvlJc w:val="left"/>
      <w:pPr>
        <w:tabs>
          <w:tab w:val="num" w:pos="1080"/>
        </w:tabs>
        <w:ind w:left="1080" w:hanging="360"/>
      </w:pPr>
      <w:rPr>
        <w:rFonts w:ascii="Arial" w:hAnsi="Arial" w:hint="default"/>
      </w:rPr>
    </w:lvl>
    <w:lvl w:ilvl="2" w:tplc="2A58BD3E" w:tentative="1">
      <w:start w:val="1"/>
      <w:numFmt w:val="bullet"/>
      <w:lvlText w:val="•"/>
      <w:lvlJc w:val="left"/>
      <w:pPr>
        <w:tabs>
          <w:tab w:val="num" w:pos="1800"/>
        </w:tabs>
        <w:ind w:left="1800" w:hanging="360"/>
      </w:pPr>
      <w:rPr>
        <w:rFonts w:ascii="Arial" w:hAnsi="Arial" w:hint="default"/>
      </w:rPr>
    </w:lvl>
    <w:lvl w:ilvl="3" w:tplc="73062782" w:tentative="1">
      <w:start w:val="1"/>
      <w:numFmt w:val="bullet"/>
      <w:lvlText w:val="•"/>
      <w:lvlJc w:val="left"/>
      <w:pPr>
        <w:tabs>
          <w:tab w:val="num" w:pos="2520"/>
        </w:tabs>
        <w:ind w:left="2520" w:hanging="360"/>
      </w:pPr>
      <w:rPr>
        <w:rFonts w:ascii="Arial" w:hAnsi="Arial" w:hint="default"/>
      </w:rPr>
    </w:lvl>
    <w:lvl w:ilvl="4" w:tplc="1DB2774A" w:tentative="1">
      <w:start w:val="1"/>
      <w:numFmt w:val="bullet"/>
      <w:lvlText w:val="•"/>
      <w:lvlJc w:val="left"/>
      <w:pPr>
        <w:tabs>
          <w:tab w:val="num" w:pos="3240"/>
        </w:tabs>
        <w:ind w:left="3240" w:hanging="360"/>
      </w:pPr>
      <w:rPr>
        <w:rFonts w:ascii="Arial" w:hAnsi="Arial" w:hint="default"/>
      </w:rPr>
    </w:lvl>
    <w:lvl w:ilvl="5" w:tplc="E4181B78" w:tentative="1">
      <w:start w:val="1"/>
      <w:numFmt w:val="bullet"/>
      <w:lvlText w:val="•"/>
      <w:lvlJc w:val="left"/>
      <w:pPr>
        <w:tabs>
          <w:tab w:val="num" w:pos="3960"/>
        </w:tabs>
        <w:ind w:left="3960" w:hanging="360"/>
      </w:pPr>
      <w:rPr>
        <w:rFonts w:ascii="Arial" w:hAnsi="Arial" w:hint="default"/>
      </w:rPr>
    </w:lvl>
    <w:lvl w:ilvl="6" w:tplc="2074834A" w:tentative="1">
      <w:start w:val="1"/>
      <w:numFmt w:val="bullet"/>
      <w:lvlText w:val="•"/>
      <w:lvlJc w:val="left"/>
      <w:pPr>
        <w:tabs>
          <w:tab w:val="num" w:pos="4680"/>
        </w:tabs>
        <w:ind w:left="4680" w:hanging="360"/>
      </w:pPr>
      <w:rPr>
        <w:rFonts w:ascii="Arial" w:hAnsi="Arial" w:hint="default"/>
      </w:rPr>
    </w:lvl>
    <w:lvl w:ilvl="7" w:tplc="44281B86" w:tentative="1">
      <w:start w:val="1"/>
      <w:numFmt w:val="bullet"/>
      <w:lvlText w:val="•"/>
      <w:lvlJc w:val="left"/>
      <w:pPr>
        <w:tabs>
          <w:tab w:val="num" w:pos="5400"/>
        </w:tabs>
        <w:ind w:left="5400" w:hanging="360"/>
      </w:pPr>
      <w:rPr>
        <w:rFonts w:ascii="Arial" w:hAnsi="Arial" w:hint="default"/>
      </w:rPr>
    </w:lvl>
    <w:lvl w:ilvl="8" w:tplc="50AEAF2E" w:tentative="1">
      <w:start w:val="1"/>
      <w:numFmt w:val="bullet"/>
      <w:lvlText w:val="•"/>
      <w:lvlJc w:val="left"/>
      <w:pPr>
        <w:tabs>
          <w:tab w:val="num" w:pos="6120"/>
        </w:tabs>
        <w:ind w:left="6120" w:hanging="360"/>
      </w:pPr>
      <w:rPr>
        <w:rFonts w:ascii="Arial" w:hAnsi="Arial" w:hint="default"/>
      </w:rPr>
    </w:lvl>
  </w:abstractNum>
  <w:abstractNum w:abstractNumId="3">
    <w:nsid w:val="39750B4B"/>
    <w:multiLevelType w:val="hybridMultilevel"/>
    <w:tmpl w:val="BD56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30579"/>
    <w:multiLevelType w:val="hybridMultilevel"/>
    <w:tmpl w:val="3A680ED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496B5DA2"/>
    <w:multiLevelType w:val="hybridMultilevel"/>
    <w:tmpl w:val="A526389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53FB0969"/>
    <w:multiLevelType w:val="hybridMultilevel"/>
    <w:tmpl w:val="6DAAA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064467"/>
    <w:multiLevelType w:val="hybridMultilevel"/>
    <w:tmpl w:val="BA2A5F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18E301F"/>
    <w:multiLevelType w:val="hybridMultilevel"/>
    <w:tmpl w:val="7F86A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F073C5"/>
    <w:multiLevelType w:val="hybridMultilevel"/>
    <w:tmpl w:val="5B4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7"/>
  </w:num>
  <w:num w:numId="6">
    <w:abstractNumId w:val="2"/>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07E9"/>
    <w:rsid w:val="00011ACB"/>
    <w:rsid w:val="00012981"/>
    <w:rsid w:val="00022860"/>
    <w:rsid w:val="00031020"/>
    <w:rsid w:val="00043592"/>
    <w:rsid w:val="00060E9F"/>
    <w:rsid w:val="00064498"/>
    <w:rsid w:val="0007261E"/>
    <w:rsid w:val="000743F2"/>
    <w:rsid w:val="0007673E"/>
    <w:rsid w:val="00077617"/>
    <w:rsid w:val="00083BB4"/>
    <w:rsid w:val="00084AA3"/>
    <w:rsid w:val="000F5AA1"/>
    <w:rsid w:val="00102557"/>
    <w:rsid w:val="00105C2D"/>
    <w:rsid w:val="00132604"/>
    <w:rsid w:val="001511E6"/>
    <w:rsid w:val="0017101A"/>
    <w:rsid w:val="001736E5"/>
    <w:rsid w:val="00183923"/>
    <w:rsid w:val="00195F92"/>
    <w:rsid w:val="001A78CD"/>
    <w:rsid w:val="001E0C8C"/>
    <w:rsid w:val="001E73F7"/>
    <w:rsid w:val="002157A2"/>
    <w:rsid w:val="0021580C"/>
    <w:rsid w:val="002177ED"/>
    <w:rsid w:val="00245CC1"/>
    <w:rsid w:val="002466FE"/>
    <w:rsid w:val="00250B6F"/>
    <w:rsid w:val="0025360C"/>
    <w:rsid w:val="002610A3"/>
    <w:rsid w:val="0026182B"/>
    <w:rsid w:val="00296352"/>
    <w:rsid w:val="002A3127"/>
    <w:rsid w:val="002B15AB"/>
    <w:rsid w:val="002B1702"/>
    <w:rsid w:val="002C00FA"/>
    <w:rsid w:val="002D3069"/>
    <w:rsid w:val="002E0EB2"/>
    <w:rsid w:val="002E6766"/>
    <w:rsid w:val="003034AE"/>
    <w:rsid w:val="0030354C"/>
    <w:rsid w:val="00323BDA"/>
    <w:rsid w:val="00324E6B"/>
    <w:rsid w:val="00335DB2"/>
    <w:rsid w:val="0034014B"/>
    <w:rsid w:val="00351679"/>
    <w:rsid w:val="0036461F"/>
    <w:rsid w:val="00381B41"/>
    <w:rsid w:val="00385787"/>
    <w:rsid w:val="003877D8"/>
    <w:rsid w:val="00392933"/>
    <w:rsid w:val="003A3305"/>
    <w:rsid w:val="003B625C"/>
    <w:rsid w:val="003B6C12"/>
    <w:rsid w:val="003E3193"/>
    <w:rsid w:val="00406235"/>
    <w:rsid w:val="00436375"/>
    <w:rsid w:val="00454DF8"/>
    <w:rsid w:val="00464451"/>
    <w:rsid w:val="004703CC"/>
    <w:rsid w:val="004804AE"/>
    <w:rsid w:val="004B18B2"/>
    <w:rsid w:val="004B73F8"/>
    <w:rsid w:val="004C0CCA"/>
    <w:rsid w:val="004E4C3D"/>
    <w:rsid w:val="004E658E"/>
    <w:rsid w:val="004E728E"/>
    <w:rsid w:val="005020CD"/>
    <w:rsid w:val="0051241C"/>
    <w:rsid w:val="00522359"/>
    <w:rsid w:val="00555400"/>
    <w:rsid w:val="005855ED"/>
    <w:rsid w:val="00590FC2"/>
    <w:rsid w:val="005A6D37"/>
    <w:rsid w:val="005C0DB6"/>
    <w:rsid w:val="005D33BD"/>
    <w:rsid w:val="005F4DAF"/>
    <w:rsid w:val="005F505F"/>
    <w:rsid w:val="00603DD2"/>
    <w:rsid w:val="00613C46"/>
    <w:rsid w:val="00621321"/>
    <w:rsid w:val="0062257E"/>
    <w:rsid w:val="00661478"/>
    <w:rsid w:val="0066496A"/>
    <w:rsid w:val="00664D21"/>
    <w:rsid w:val="00671CD7"/>
    <w:rsid w:val="00672E00"/>
    <w:rsid w:val="00691E26"/>
    <w:rsid w:val="00693136"/>
    <w:rsid w:val="006A5C96"/>
    <w:rsid w:val="006A7933"/>
    <w:rsid w:val="006D7507"/>
    <w:rsid w:val="006D7E25"/>
    <w:rsid w:val="006D7FB4"/>
    <w:rsid w:val="006E190B"/>
    <w:rsid w:val="006E1B6B"/>
    <w:rsid w:val="006F116D"/>
    <w:rsid w:val="006F1607"/>
    <w:rsid w:val="007038CC"/>
    <w:rsid w:val="00707900"/>
    <w:rsid w:val="0072618B"/>
    <w:rsid w:val="00731633"/>
    <w:rsid w:val="00736334"/>
    <w:rsid w:val="00736F27"/>
    <w:rsid w:val="00746D8D"/>
    <w:rsid w:val="007649ED"/>
    <w:rsid w:val="00777D28"/>
    <w:rsid w:val="00781805"/>
    <w:rsid w:val="00797883"/>
    <w:rsid w:val="007A4E75"/>
    <w:rsid w:val="007A64E6"/>
    <w:rsid w:val="007A7801"/>
    <w:rsid w:val="007B1510"/>
    <w:rsid w:val="007B68A2"/>
    <w:rsid w:val="007C3132"/>
    <w:rsid w:val="007C4B30"/>
    <w:rsid w:val="007C4EB8"/>
    <w:rsid w:val="007E6202"/>
    <w:rsid w:val="007F46C5"/>
    <w:rsid w:val="008070DA"/>
    <w:rsid w:val="00827A2C"/>
    <w:rsid w:val="00830434"/>
    <w:rsid w:val="00897FFB"/>
    <w:rsid w:val="008A439B"/>
    <w:rsid w:val="008A6458"/>
    <w:rsid w:val="008A716D"/>
    <w:rsid w:val="008C59A2"/>
    <w:rsid w:val="008C628D"/>
    <w:rsid w:val="008C6926"/>
    <w:rsid w:val="008D0608"/>
    <w:rsid w:val="008F3475"/>
    <w:rsid w:val="00903474"/>
    <w:rsid w:val="009060B8"/>
    <w:rsid w:val="00926AD3"/>
    <w:rsid w:val="009273B3"/>
    <w:rsid w:val="00965538"/>
    <w:rsid w:val="0097260B"/>
    <w:rsid w:val="00973573"/>
    <w:rsid w:val="0099708F"/>
    <w:rsid w:val="009A4C0D"/>
    <w:rsid w:val="009B3F0A"/>
    <w:rsid w:val="009D7ACA"/>
    <w:rsid w:val="009E2AF8"/>
    <w:rsid w:val="009F28F5"/>
    <w:rsid w:val="00A028F6"/>
    <w:rsid w:val="00A1523A"/>
    <w:rsid w:val="00A16290"/>
    <w:rsid w:val="00A52949"/>
    <w:rsid w:val="00A545BA"/>
    <w:rsid w:val="00A63C2B"/>
    <w:rsid w:val="00A662A0"/>
    <w:rsid w:val="00A87D44"/>
    <w:rsid w:val="00AA2C57"/>
    <w:rsid w:val="00AA3C2B"/>
    <w:rsid w:val="00AB4C0E"/>
    <w:rsid w:val="00AC08ED"/>
    <w:rsid w:val="00AE2115"/>
    <w:rsid w:val="00AF5B6E"/>
    <w:rsid w:val="00B07DD3"/>
    <w:rsid w:val="00B30962"/>
    <w:rsid w:val="00B33A57"/>
    <w:rsid w:val="00B35215"/>
    <w:rsid w:val="00B37A2A"/>
    <w:rsid w:val="00B416AA"/>
    <w:rsid w:val="00B41730"/>
    <w:rsid w:val="00B5036C"/>
    <w:rsid w:val="00B815D1"/>
    <w:rsid w:val="00BA6E9C"/>
    <w:rsid w:val="00BB1A1A"/>
    <w:rsid w:val="00C25266"/>
    <w:rsid w:val="00C43F72"/>
    <w:rsid w:val="00C56D34"/>
    <w:rsid w:val="00C6155B"/>
    <w:rsid w:val="00CD6E12"/>
    <w:rsid w:val="00CE7DC6"/>
    <w:rsid w:val="00CF116F"/>
    <w:rsid w:val="00CF6241"/>
    <w:rsid w:val="00D10BC6"/>
    <w:rsid w:val="00D16CB4"/>
    <w:rsid w:val="00D27F82"/>
    <w:rsid w:val="00D41E63"/>
    <w:rsid w:val="00D62E6C"/>
    <w:rsid w:val="00D64CA2"/>
    <w:rsid w:val="00D67209"/>
    <w:rsid w:val="00D73FF1"/>
    <w:rsid w:val="00D93AB7"/>
    <w:rsid w:val="00DB2823"/>
    <w:rsid w:val="00DB34B1"/>
    <w:rsid w:val="00DE715E"/>
    <w:rsid w:val="00DF3AAB"/>
    <w:rsid w:val="00DF6543"/>
    <w:rsid w:val="00E03AE4"/>
    <w:rsid w:val="00E0515D"/>
    <w:rsid w:val="00E16743"/>
    <w:rsid w:val="00E27D57"/>
    <w:rsid w:val="00E64FDE"/>
    <w:rsid w:val="00E83A2C"/>
    <w:rsid w:val="00EC3F77"/>
    <w:rsid w:val="00EC4C5A"/>
    <w:rsid w:val="00EF57F9"/>
    <w:rsid w:val="00F04222"/>
    <w:rsid w:val="00F0774D"/>
    <w:rsid w:val="00F20D14"/>
    <w:rsid w:val="00F2348D"/>
    <w:rsid w:val="00F34158"/>
    <w:rsid w:val="00F47480"/>
    <w:rsid w:val="00F5660C"/>
    <w:rsid w:val="00F96AFE"/>
    <w:rsid w:val="00FA2604"/>
    <w:rsid w:val="00FA440A"/>
    <w:rsid w:val="00FB050B"/>
    <w:rsid w:val="00FB2D73"/>
    <w:rsid w:val="00FD76B2"/>
    <w:rsid w:val="00FE2C3D"/>
    <w:rsid w:val="00FE43C2"/>
    <w:rsid w:val="00FF545B"/>
    <w:rsid w:val="00FF57E3"/>
    <w:rsid w:val="00FF75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9859A-D22E-4F2F-840F-37BDCAD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link w:val="FooterChar"/>
    <w:uiPriority w:val="99"/>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16F"/>
    <w:rPr>
      <w:sz w:val="24"/>
      <w:szCs w:val="24"/>
    </w:rPr>
  </w:style>
  <w:style w:type="paragraph" w:customStyle="1" w:styleId="Default">
    <w:name w:val="Default"/>
    <w:rsid w:val="00D62E6C"/>
    <w:pPr>
      <w:widowControl w:val="0"/>
      <w:autoSpaceDE w:val="0"/>
      <w:autoSpaceDN w:val="0"/>
      <w:adjustRightInd w:val="0"/>
    </w:pPr>
    <w:rPr>
      <w:rFonts w:eastAsiaTheme="minorEastAsia"/>
      <w:color w:val="000000"/>
      <w:sz w:val="24"/>
      <w:szCs w:val="24"/>
    </w:rPr>
  </w:style>
  <w:style w:type="character" w:customStyle="1" w:styleId="FooterChar">
    <w:name w:val="Footer Char"/>
    <w:basedOn w:val="DefaultParagraphFont"/>
    <w:link w:val="Footer"/>
    <w:uiPriority w:val="99"/>
    <w:locked/>
    <w:rsid w:val="00D62E6C"/>
    <w:rPr>
      <w:sz w:val="24"/>
      <w:szCs w:val="24"/>
    </w:rPr>
  </w:style>
  <w:style w:type="paragraph" w:styleId="BalloonText">
    <w:name w:val="Balloon Text"/>
    <w:basedOn w:val="Normal"/>
    <w:link w:val="BalloonTextChar"/>
    <w:rsid w:val="003A3305"/>
    <w:rPr>
      <w:rFonts w:ascii="Tahoma" w:hAnsi="Tahoma" w:cs="Tahoma"/>
      <w:sz w:val="16"/>
      <w:szCs w:val="16"/>
    </w:rPr>
  </w:style>
  <w:style w:type="character" w:customStyle="1" w:styleId="BalloonTextChar">
    <w:name w:val="Balloon Text Char"/>
    <w:basedOn w:val="DefaultParagraphFont"/>
    <w:link w:val="BalloonText"/>
    <w:rsid w:val="003A3305"/>
    <w:rPr>
      <w:rFonts w:ascii="Tahoma" w:hAnsi="Tahoma" w:cs="Tahoma"/>
      <w:sz w:val="16"/>
      <w:szCs w:val="16"/>
    </w:rPr>
  </w:style>
  <w:style w:type="character" w:styleId="PlaceholderText">
    <w:name w:val="Placeholder Text"/>
    <w:basedOn w:val="DefaultParagraphFont"/>
    <w:uiPriority w:val="99"/>
    <w:semiHidden/>
    <w:rsid w:val="00F2348D"/>
    <w:rPr>
      <w:color w:val="808080"/>
    </w:rPr>
  </w:style>
  <w:style w:type="paragraph" w:styleId="BodyText">
    <w:name w:val="Body Text"/>
    <w:basedOn w:val="Normal"/>
    <w:link w:val="BodyTextChar"/>
    <w:rsid w:val="007A64E6"/>
    <w:rPr>
      <w:szCs w:val="20"/>
    </w:rPr>
  </w:style>
  <w:style w:type="character" w:customStyle="1" w:styleId="BodyTextChar">
    <w:name w:val="Body Text Char"/>
    <w:basedOn w:val="DefaultParagraphFont"/>
    <w:link w:val="BodyText"/>
    <w:rsid w:val="007A64E6"/>
    <w:rPr>
      <w:sz w:val="24"/>
    </w:rPr>
  </w:style>
  <w:style w:type="character" w:customStyle="1" w:styleId="NoSpacingChar">
    <w:name w:val="No Spacing Char"/>
    <w:link w:val="NoSpacing"/>
    <w:uiPriority w:val="1"/>
    <w:rsid w:val="00CE7DC6"/>
    <w:rPr>
      <w:sz w:val="24"/>
      <w:szCs w:val="24"/>
    </w:rPr>
  </w:style>
  <w:style w:type="paragraph" w:styleId="ListParagraph">
    <w:name w:val="List Paragraph"/>
    <w:basedOn w:val="Normal"/>
    <w:uiPriority w:val="34"/>
    <w:qFormat/>
    <w:rsid w:val="00CE7DC6"/>
    <w:pPr>
      <w:ind w:left="720"/>
      <w:contextualSpacing/>
    </w:pPr>
  </w:style>
  <w:style w:type="character" w:styleId="Hyperlink">
    <w:name w:val="Hyperlink"/>
    <w:basedOn w:val="DefaultParagraphFont"/>
    <w:unhideWhenUsed/>
    <w:rsid w:val="009D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6004">
      <w:bodyDiv w:val="1"/>
      <w:marLeft w:val="0"/>
      <w:marRight w:val="0"/>
      <w:marTop w:val="0"/>
      <w:marBottom w:val="0"/>
      <w:divBdr>
        <w:top w:val="none" w:sz="0" w:space="0" w:color="auto"/>
        <w:left w:val="none" w:sz="0" w:space="0" w:color="auto"/>
        <w:bottom w:val="none" w:sz="0" w:space="0" w:color="auto"/>
        <w:right w:val="none" w:sz="0" w:space="0" w:color="auto"/>
      </w:divBdr>
    </w:div>
    <w:div w:id="6872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lim.lekiqi@ushaf.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9960-D9E8-4445-9CDB-05285660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5282</Characters>
  <Application>Microsoft Office Word</Application>
  <DocSecurity>0</DocSecurity>
  <Lines>44</Lines>
  <Paragraphs>12</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SYLLABUSET MBNJ</vt:lpstr>
      <vt:lpstr>SYLLABUSET MBNJ</vt:lpstr>
    </vt:vector>
  </TitlesOfParts>
  <Company>shpija</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 MBNJ</dc:title>
  <dc:creator>Dr. sc. Bislim Lekiqi</dc:creator>
  <cp:lastModifiedBy>botek</cp:lastModifiedBy>
  <cp:revision>7</cp:revision>
  <cp:lastPrinted>2017-10-03T20:06:00Z</cp:lastPrinted>
  <dcterms:created xsi:type="dcterms:W3CDTF">2020-01-16T08:31:00Z</dcterms:created>
  <dcterms:modified xsi:type="dcterms:W3CDTF">2020-02-18T22:26:00Z</dcterms:modified>
</cp:coreProperties>
</file>